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
          <w:sz w:val="44"/>
          <w:szCs w:val="44"/>
        </w:rPr>
      </w:pPr>
      <w:r>
        <w:rPr>
          <w:rFonts w:hint="eastAsia" w:ascii="黑体" w:eastAsia="黑体"/>
          <w:b/>
          <w:sz w:val="44"/>
          <w:szCs w:val="44"/>
          <w:lang w:eastAsia="zh-CN"/>
        </w:rPr>
        <w:drawing>
          <wp:anchor distT="0" distB="0" distL="114300" distR="114300" simplePos="0" relativeHeight="251664384" behindDoc="1" locked="0" layoutInCell="1" allowOverlap="1">
            <wp:simplePos x="0" y="0"/>
            <wp:positionH relativeFrom="column">
              <wp:posOffset>-1159510</wp:posOffset>
            </wp:positionH>
            <wp:positionV relativeFrom="paragraph">
              <wp:posOffset>-1132205</wp:posOffset>
            </wp:positionV>
            <wp:extent cx="7602855" cy="10754995"/>
            <wp:effectExtent l="0" t="0" r="17145" b="8255"/>
            <wp:wrapNone/>
            <wp:docPr id="14" name="图片 14"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000"/>
                    <pic:cNvPicPr>
                      <a:picLocks noChangeAspect="1"/>
                    </pic:cNvPicPr>
                  </pic:nvPicPr>
                  <pic:blipFill>
                    <a:blip r:embed="rId9"/>
                    <a:stretch>
                      <a:fillRect/>
                    </a:stretch>
                  </pic:blipFill>
                  <pic:spPr>
                    <a:xfrm>
                      <a:off x="0" y="0"/>
                      <a:ext cx="7602855" cy="10754995"/>
                    </a:xfrm>
                    <a:prstGeom prst="rect">
                      <a:avLst/>
                    </a:prstGeom>
                  </pic:spPr>
                </pic:pic>
              </a:graphicData>
            </a:graphic>
          </wp:anchor>
        </w:drawing>
      </w:r>
    </w:p>
    <w:p>
      <w:pPr>
        <w:jc w:val="center"/>
        <w:rPr>
          <w:rFonts w:hint="eastAsia" w:ascii="仿宋" w:hAnsi="仿宋" w:eastAsia="仿宋" w:cs="仿宋"/>
          <w:b/>
          <w:sz w:val="44"/>
          <w:szCs w:val="44"/>
        </w:rPr>
      </w:pPr>
      <w:r>
        <w:rPr>
          <w:rFonts w:hint="eastAsia" w:ascii="仿宋" w:hAnsi="仿宋" w:eastAsia="仿宋" w:cs="仿宋"/>
          <w:b/>
          <w:sz w:val="44"/>
          <w:szCs w:val="44"/>
        </w:rPr>
        <w:pict>
          <v:shape id="_x0000_s2050" o:spid="_x0000_s2050" o:spt="75" type="#_x0000_t75" style="position:absolute;left:0pt;margin-left:34.75pt;margin-top:22.5pt;height:61.5pt;width:361.5pt;z-index:251659264;mso-width-relative:page;mso-height-relative:page;" o:ole="t" filled="f" o:preferrelative="t" stroked="f" coordsize="21600,21600">
            <v:path/>
            <v:fill on="f" focussize="0,0"/>
            <v:stroke on="f" joinstyle="miter"/>
            <v:imagedata r:id="rId11" o:title=""/>
            <o:lock v:ext="edit" aspectratio="t"/>
          </v:shape>
          <o:OLEObject Type="Embed" ProgID="" ShapeID="_x0000_s2050" DrawAspect="Content" ObjectID="_1468075726" r:id="rId10">
            <o:LockedField>false</o:LockedField>
          </o:OLEObject>
        </w:pict>
      </w:r>
    </w:p>
    <w:p>
      <w:pPr>
        <w:jc w:val="center"/>
        <w:rPr>
          <w:rFonts w:hint="eastAsia" w:ascii="仿宋" w:hAnsi="仿宋" w:eastAsia="仿宋" w:cs="仿宋"/>
          <w:b/>
          <w:sz w:val="44"/>
          <w:szCs w:val="44"/>
        </w:rPr>
      </w:pPr>
    </w:p>
    <w:p>
      <w:pPr>
        <w:jc w:val="center"/>
        <w:rPr>
          <w:rFonts w:hint="eastAsia" w:ascii="仿宋" w:hAnsi="仿宋" w:eastAsia="仿宋" w:cs="仿宋"/>
          <w:b/>
          <w:sz w:val="48"/>
          <w:szCs w:val="48"/>
        </w:rPr>
      </w:pPr>
    </w:p>
    <w:p>
      <w:pPr>
        <w:jc w:val="center"/>
        <w:rPr>
          <w:rFonts w:hint="eastAsia" w:ascii="仿宋" w:hAnsi="仿宋" w:eastAsia="仿宋" w:cs="仿宋"/>
          <w:b/>
          <w:sz w:val="48"/>
          <w:szCs w:val="48"/>
        </w:rPr>
      </w:pPr>
    </w:p>
    <w:p>
      <w:pPr>
        <w:jc w:val="center"/>
        <w:rPr>
          <w:rFonts w:hint="eastAsia" w:ascii="仿宋" w:hAnsi="仿宋" w:eastAsia="仿宋" w:cs="仿宋"/>
          <w:b/>
          <w:sz w:val="48"/>
          <w:szCs w:val="48"/>
        </w:rPr>
      </w:pPr>
    </w:p>
    <w:p>
      <w:pPr>
        <w:jc w:val="center"/>
        <w:rPr>
          <w:rFonts w:hint="eastAsia" w:ascii="仿宋" w:hAnsi="仿宋" w:eastAsia="仿宋" w:cs="仿宋"/>
          <w:b/>
          <w:sz w:val="48"/>
          <w:szCs w:val="48"/>
        </w:rPr>
      </w:pPr>
    </w:p>
    <w:p>
      <w:pPr>
        <w:jc w:val="center"/>
        <w:rPr>
          <w:rFonts w:hint="eastAsia" w:ascii="方正小标宋简体" w:hAnsi="方正小标宋简体" w:eastAsia="方正小标宋简体" w:cs="方正小标宋简体"/>
          <w:bCs/>
          <w:spacing w:val="20"/>
          <w:sz w:val="60"/>
          <w:szCs w:val="60"/>
        </w:rPr>
      </w:pPr>
      <w:r>
        <w:rPr>
          <w:rFonts w:hint="eastAsia" w:ascii="方正小标宋简体" w:hAnsi="方正小标宋简体" w:eastAsia="方正小标宋简体" w:cs="方正小标宋简体"/>
          <w:bCs/>
          <w:spacing w:val="20"/>
          <w:sz w:val="60"/>
          <w:szCs w:val="60"/>
        </w:rPr>
        <w:t>毕业生就业质量报告</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sz w:val="44"/>
          <w:szCs w:val="44"/>
        </w:rPr>
      </w:pPr>
      <w:r>
        <w:rPr>
          <w:rFonts w:hint="eastAsia" w:ascii="黑体" w:hAnsi="黑体" w:eastAsia="黑体" w:cs="黑体"/>
          <w:b/>
          <w:sz w:val="44"/>
          <w:szCs w:val="44"/>
        </w:rPr>
        <w:t>（20</w:t>
      </w:r>
      <w:r>
        <w:rPr>
          <w:rFonts w:hint="eastAsia" w:ascii="黑体" w:hAnsi="黑体" w:eastAsia="黑体" w:cs="黑体"/>
          <w:b/>
          <w:sz w:val="44"/>
          <w:szCs w:val="44"/>
          <w:lang w:val="en-US" w:eastAsia="zh-CN"/>
        </w:rPr>
        <w:t>20</w:t>
      </w:r>
      <w:r>
        <w:rPr>
          <w:rFonts w:hint="eastAsia" w:ascii="黑体" w:hAnsi="黑体" w:eastAsia="黑体" w:cs="黑体"/>
          <w:b/>
          <w:sz w:val="44"/>
          <w:szCs w:val="44"/>
        </w:rPr>
        <w:t>年）</w:t>
      </w:r>
    </w:p>
    <w:p>
      <w:pPr>
        <w:rPr>
          <w:rFonts w:hint="eastAsia" w:ascii="仿宋" w:hAnsi="仿宋" w:eastAsia="仿宋" w:cs="仿宋"/>
          <w:b/>
          <w:sz w:val="44"/>
          <w:szCs w:val="44"/>
        </w:rPr>
      </w:pPr>
    </w:p>
    <w:p>
      <w:pPr>
        <w:rPr>
          <w:rFonts w:hint="eastAsia" w:ascii="仿宋" w:hAnsi="仿宋" w:eastAsia="仿宋" w:cs="仿宋"/>
          <w:b/>
          <w:sz w:val="44"/>
          <w:szCs w:val="44"/>
        </w:rPr>
      </w:pPr>
    </w:p>
    <w:p>
      <w:pPr>
        <w:rPr>
          <w:rFonts w:hint="eastAsia" w:ascii="仿宋" w:hAnsi="仿宋" w:eastAsia="仿宋" w:cs="仿宋"/>
          <w:b/>
          <w:sz w:val="44"/>
          <w:szCs w:val="44"/>
        </w:rPr>
      </w:pPr>
    </w:p>
    <w:p>
      <w:pPr>
        <w:rPr>
          <w:rFonts w:hint="eastAsia" w:ascii="仿宋" w:hAnsi="仿宋" w:eastAsia="仿宋" w:cs="仿宋"/>
          <w:b/>
          <w:sz w:val="44"/>
          <w:szCs w:val="44"/>
        </w:rPr>
      </w:pPr>
    </w:p>
    <w:p>
      <w:pPr>
        <w:rPr>
          <w:rFonts w:hint="eastAsia" w:ascii="仿宋" w:hAnsi="仿宋" w:eastAsia="仿宋" w:cs="仿宋"/>
          <w:b/>
          <w:sz w:val="44"/>
          <w:szCs w:val="44"/>
        </w:rPr>
      </w:pPr>
    </w:p>
    <w:p>
      <w:pPr>
        <w:rPr>
          <w:rFonts w:hint="eastAsia" w:ascii="仿宋" w:hAnsi="仿宋" w:eastAsia="仿宋" w:cs="仿宋"/>
          <w:b/>
          <w:sz w:val="44"/>
          <w:szCs w:val="44"/>
        </w:rPr>
      </w:pPr>
    </w:p>
    <w:p>
      <w:pPr>
        <w:rPr>
          <w:rFonts w:hint="eastAsia" w:ascii="仿宋" w:hAnsi="仿宋" w:eastAsia="仿宋" w:cs="仿宋"/>
          <w:b/>
          <w:sz w:val="44"/>
          <w:szCs w:val="44"/>
        </w:rPr>
      </w:pPr>
    </w:p>
    <w:p>
      <w:pPr>
        <w:rPr>
          <w:rFonts w:hint="eastAsia" w:ascii="仿宋" w:hAnsi="仿宋" w:eastAsia="仿宋" w:cs="仿宋"/>
          <w:b/>
          <w:sz w:val="44"/>
          <w:szCs w:val="44"/>
        </w:rPr>
      </w:pPr>
    </w:p>
    <w:p>
      <w:pPr>
        <w:rPr>
          <w:rFonts w:hint="eastAsia" w:ascii="仿宋" w:hAnsi="仿宋" w:eastAsia="仿宋" w:cs="仿宋"/>
          <w:b/>
          <w:sz w:val="24"/>
          <w:szCs w:val="24"/>
        </w:rPr>
      </w:pPr>
    </w:p>
    <w:p>
      <w:pPr>
        <w:rPr>
          <w:rFonts w:hint="eastAsia" w:ascii="仿宋" w:hAnsi="仿宋" w:eastAsia="仿宋" w:cs="仿宋"/>
          <w:b/>
          <w:sz w:val="44"/>
          <w:szCs w:val="44"/>
        </w:rPr>
      </w:pPr>
    </w:p>
    <w:p>
      <w:pPr>
        <w:jc w:val="center"/>
        <w:rPr>
          <w:rFonts w:hint="eastAsia" w:ascii="黑体" w:hAnsi="黑体" w:eastAsia="黑体" w:cs="黑体"/>
          <w:bCs/>
          <w:i w:val="0"/>
          <w:iCs w:val="0"/>
          <w:color w:val="000000"/>
          <w:sz w:val="44"/>
          <w:szCs w:val="44"/>
        </w:rPr>
      </w:pPr>
      <w:r>
        <w:rPr>
          <w:rFonts w:hint="eastAsia" w:ascii="黑体" w:hAnsi="黑体" w:eastAsia="黑体" w:cs="黑体"/>
          <w:bCs/>
          <w:i w:val="0"/>
          <w:iCs w:val="0"/>
          <w:color w:val="000000"/>
          <w:sz w:val="36"/>
          <w:szCs w:val="36"/>
        </w:rPr>
        <w:t>二</w:t>
      </w:r>
      <w:r>
        <w:rPr>
          <w:rFonts w:hint="eastAsia" w:ascii="黑体" w:hAnsi="黑体" w:eastAsia="黑体" w:cs="黑体"/>
          <w:bCs/>
          <w:i w:val="0"/>
          <w:iCs w:val="0"/>
          <w:color w:val="000000"/>
          <w:sz w:val="36"/>
          <w:szCs w:val="36"/>
          <w:lang w:val="en-US" w:eastAsia="zh-CN"/>
        </w:rPr>
        <w:t>0</w:t>
      </w:r>
      <w:r>
        <w:rPr>
          <w:rFonts w:hint="eastAsia" w:ascii="黑体" w:hAnsi="黑体" w:eastAsia="黑体" w:cs="黑体"/>
          <w:bCs/>
          <w:i w:val="0"/>
          <w:iCs w:val="0"/>
          <w:color w:val="000000"/>
          <w:sz w:val="36"/>
          <w:szCs w:val="36"/>
          <w:lang w:eastAsia="zh-CN"/>
        </w:rPr>
        <w:t>二</w:t>
      </w:r>
      <w:r>
        <w:rPr>
          <w:rFonts w:hint="eastAsia" w:ascii="黑体" w:hAnsi="黑体" w:eastAsia="黑体" w:cs="黑体"/>
          <w:bCs/>
          <w:i w:val="0"/>
          <w:iCs w:val="0"/>
          <w:color w:val="000000"/>
          <w:sz w:val="36"/>
          <w:szCs w:val="36"/>
          <w:lang w:val="en-US" w:eastAsia="zh-CN"/>
        </w:rPr>
        <w:t>0</w:t>
      </w:r>
      <w:r>
        <w:rPr>
          <w:rFonts w:hint="eastAsia" w:ascii="黑体" w:hAnsi="黑体" w:eastAsia="黑体" w:cs="黑体"/>
          <w:bCs/>
          <w:i w:val="0"/>
          <w:iCs w:val="0"/>
          <w:color w:val="000000"/>
          <w:sz w:val="36"/>
          <w:szCs w:val="36"/>
        </w:rPr>
        <w:t>年十二月</w:t>
      </w:r>
    </w:p>
    <w:p>
      <w:pPr>
        <w:ind w:firstLine="3264" w:firstLineChars="739"/>
        <w:rPr>
          <w:rFonts w:hint="eastAsia" w:ascii="仿宋" w:hAnsi="仿宋" w:eastAsia="仿宋" w:cs="仿宋"/>
          <w:b/>
          <w:sz w:val="44"/>
          <w:szCs w:val="44"/>
        </w:rPr>
      </w:pPr>
    </w:p>
    <w:p>
      <w:pPr>
        <w:rPr>
          <w:rFonts w:hint="eastAsia" w:ascii="仿宋" w:hAnsi="仿宋" w:eastAsia="仿宋" w:cs="仿宋"/>
          <w:sz w:val="28"/>
          <w:szCs w:val="28"/>
        </w:rPr>
        <w:sectPr>
          <w:pgSz w:w="11906" w:h="16838"/>
          <w:pgMar w:top="1701" w:right="1800" w:bottom="1440" w:left="1800"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val="0"/>
        <w:autoSpaceDN w:val="0"/>
        <w:bidi w:val="0"/>
        <w:adjustRightInd w:val="0"/>
        <w:snapToGrid/>
        <w:jc w:val="center"/>
        <w:textAlignment w:val="auto"/>
        <w:outlineLvl w:val="2"/>
        <w:rPr>
          <w:rFonts w:hint="eastAsia" w:ascii="仿宋" w:hAnsi="仿宋" w:eastAsia="仿宋" w:cs="仿宋"/>
          <w:color w:val="000000" w:themeColor="text1"/>
          <w:kern w:val="0"/>
          <w:sz w:val="28"/>
          <w:szCs w:val="28"/>
          <w:lang w:val="en-US" w:eastAsia="zh-CN" w:bidi="ar-SA"/>
          <w14:textFill>
            <w14:solidFill>
              <w14:schemeClr w14:val="tx1"/>
            </w14:solidFill>
          </w14:textFill>
        </w:rPr>
      </w:pPr>
      <w:bookmarkStart w:id="0" w:name="_Toc11581"/>
      <w:bookmarkStart w:id="1" w:name="_Toc9170"/>
      <w:r>
        <w:rPr>
          <w:rFonts w:hint="eastAsia" w:ascii="仿宋" w:hAnsi="仿宋" w:eastAsia="仿宋" w:cs="仿宋"/>
          <w:b/>
          <w:color w:val="0070C0"/>
          <w:sz w:val="36"/>
          <w:szCs w:val="36"/>
        </w:rPr>
        <w:t>目   录</w:t>
      </w:r>
      <w:bookmarkEnd w:id="0"/>
      <w:bookmarkEnd w:id="1"/>
      <w:r>
        <w:rPr>
          <w:rFonts w:hint="eastAsia" w:ascii="仿宋" w:hAnsi="仿宋" w:eastAsia="仿宋" w:cs="仿宋"/>
          <w:b/>
          <w:color w:val="000000" w:themeColor="text1"/>
          <w:kern w:val="0"/>
          <w:sz w:val="28"/>
          <w:szCs w:val="28"/>
          <w14:textFill>
            <w14:solidFill>
              <w14:schemeClr w14:val="tx1"/>
            </w14:solidFill>
          </w14:textFill>
        </w:rPr>
        <w:fldChar w:fldCharType="begin"/>
      </w:r>
      <w:r>
        <w:rPr>
          <w:rFonts w:hint="eastAsia" w:ascii="仿宋" w:hAnsi="仿宋" w:eastAsia="仿宋" w:cs="仿宋"/>
          <w:b/>
          <w:color w:val="000000" w:themeColor="text1"/>
          <w:kern w:val="0"/>
          <w:sz w:val="28"/>
          <w:szCs w:val="28"/>
          <w14:textFill>
            <w14:solidFill>
              <w14:schemeClr w14:val="tx1"/>
            </w14:solidFill>
          </w14:textFill>
        </w:rPr>
        <w:instrText xml:space="preserve"> TOC \o "1-3" \h \z \u </w:instrText>
      </w:r>
      <w:r>
        <w:rPr>
          <w:rFonts w:hint="eastAsia" w:ascii="仿宋" w:hAnsi="仿宋" w:eastAsia="仿宋" w:cs="仿宋"/>
          <w:b/>
          <w:color w:val="000000" w:themeColor="text1"/>
          <w:kern w:val="0"/>
          <w:sz w:val="28"/>
          <w:szCs w:val="28"/>
          <w14:textFill>
            <w14:solidFill>
              <w14:schemeClr w14:val="tx1"/>
            </w14:solidFill>
          </w14:textFill>
        </w:rPr>
        <w:fldChar w:fldCharType="separate"/>
      </w:r>
    </w:p>
    <w:p>
      <w:pPr>
        <w:pStyle w:val="12"/>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kern w:val="0"/>
          <w:sz w:val="28"/>
          <w:szCs w:val="28"/>
          <w14:textFill>
            <w14:solidFill>
              <w14:schemeClr w14:val="tx1"/>
            </w14:solidFill>
          </w14:textFill>
        </w:rPr>
        <w:fldChar w:fldCharType="begin"/>
      </w:r>
      <w:r>
        <w:rPr>
          <w:rFonts w:hint="eastAsia" w:ascii="仿宋" w:hAnsi="仿宋" w:eastAsia="仿宋" w:cs="仿宋"/>
          <w:b/>
          <w:bCs/>
          <w:color w:val="000000" w:themeColor="text1"/>
          <w:kern w:val="0"/>
          <w:sz w:val="28"/>
          <w:szCs w:val="28"/>
          <w14:textFill>
            <w14:solidFill>
              <w14:schemeClr w14:val="tx1"/>
            </w14:solidFill>
          </w14:textFill>
        </w:rPr>
        <w:instrText xml:space="preserve"> HYPERLINK \l _Toc899 </w:instrText>
      </w:r>
      <w:r>
        <w:rPr>
          <w:rFonts w:hint="eastAsia" w:ascii="仿宋" w:hAnsi="仿宋" w:eastAsia="仿宋" w:cs="仿宋"/>
          <w:b/>
          <w:bCs/>
          <w:color w:val="000000" w:themeColor="text1"/>
          <w:kern w:val="0"/>
          <w:sz w:val="28"/>
          <w:szCs w:val="28"/>
          <w14:textFill>
            <w14:solidFill>
              <w14:schemeClr w14:val="tx1"/>
            </w14:solidFill>
          </w14:textFill>
        </w:rPr>
        <w:fldChar w:fldCharType="separate"/>
      </w:r>
      <w:r>
        <w:rPr>
          <w:rFonts w:hint="eastAsia" w:ascii="仿宋" w:hAnsi="仿宋" w:eastAsia="仿宋" w:cs="仿宋"/>
          <w:b/>
          <w:bCs/>
          <w:color w:val="000000" w:themeColor="text1"/>
          <w:kern w:val="0"/>
          <w:sz w:val="28"/>
          <w:szCs w:val="28"/>
          <w14:textFill>
            <w14:solidFill>
              <w14:schemeClr w14:val="tx1"/>
            </w14:solidFill>
          </w14:textFill>
        </w:rPr>
        <w:t>前  言</w:t>
      </w:r>
      <w:r>
        <w:rPr>
          <w:rFonts w:hint="eastAsia" w:ascii="仿宋" w:hAnsi="仿宋" w:eastAsia="仿宋" w:cs="仿宋"/>
          <w:b/>
          <w:bCs/>
          <w:color w:val="000000" w:themeColor="text1"/>
          <w:sz w:val="28"/>
          <w:szCs w:val="28"/>
          <w14:textFill>
            <w14:solidFill>
              <w14:schemeClr w14:val="tx1"/>
            </w14:solidFill>
          </w14:textFill>
        </w:rPr>
        <w:tab/>
      </w:r>
      <w:r>
        <w:rPr>
          <w:rFonts w:hint="eastAsia" w:ascii="仿宋" w:hAnsi="仿宋" w:eastAsia="仿宋" w:cs="仿宋"/>
          <w:b/>
          <w:bCs/>
          <w:color w:val="000000" w:themeColor="text1"/>
          <w:sz w:val="28"/>
          <w:szCs w:val="28"/>
          <w14:textFill>
            <w14:solidFill>
              <w14:schemeClr w14:val="tx1"/>
            </w14:solidFill>
          </w14:textFill>
        </w:rPr>
        <w:fldChar w:fldCharType="begin"/>
      </w:r>
      <w:r>
        <w:rPr>
          <w:rFonts w:hint="eastAsia" w:ascii="仿宋" w:hAnsi="仿宋" w:eastAsia="仿宋" w:cs="仿宋"/>
          <w:b/>
          <w:bCs/>
          <w:color w:val="000000" w:themeColor="text1"/>
          <w:sz w:val="28"/>
          <w:szCs w:val="28"/>
          <w14:textFill>
            <w14:solidFill>
              <w14:schemeClr w14:val="tx1"/>
            </w14:solidFill>
          </w14:textFill>
        </w:rPr>
        <w:instrText xml:space="preserve"> PAGEREF _Toc899 </w:instrText>
      </w:r>
      <w:r>
        <w:rPr>
          <w:rFonts w:hint="eastAsia" w:ascii="仿宋" w:hAnsi="仿宋" w:eastAsia="仿宋" w:cs="仿宋"/>
          <w:b/>
          <w:bCs/>
          <w:color w:val="000000" w:themeColor="text1"/>
          <w:sz w:val="28"/>
          <w:szCs w:val="28"/>
          <w14:textFill>
            <w14:solidFill>
              <w14:schemeClr w14:val="tx1"/>
            </w14:solidFill>
          </w14:textFill>
        </w:rPr>
        <w:fldChar w:fldCharType="separate"/>
      </w:r>
      <w:r>
        <w:rPr>
          <w:rFonts w:hint="eastAsia" w:ascii="仿宋" w:hAnsi="仿宋" w:eastAsia="仿宋" w:cs="仿宋"/>
          <w:b/>
          <w:bCs/>
          <w:color w:val="000000" w:themeColor="text1"/>
          <w:sz w:val="28"/>
          <w:szCs w:val="28"/>
          <w14:textFill>
            <w14:solidFill>
              <w14:schemeClr w14:val="tx1"/>
            </w14:solidFill>
          </w14:textFill>
        </w:rPr>
        <w:t>1</w:t>
      </w:r>
      <w:r>
        <w:rPr>
          <w:rFonts w:hint="eastAsia" w:ascii="仿宋" w:hAnsi="仿宋" w:eastAsia="仿宋" w:cs="仿宋"/>
          <w:b/>
          <w:bCs/>
          <w:color w:val="000000" w:themeColor="text1"/>
          <w:sz w:val="28"/>
          <w:szCs w:val="28"/>
          <w14:textFill>
            <w14:solidFill>
              <w14:schemeClr w14:val="tx1"/>
            </w14:solidFill>
          </w14:textFill>
        </w:rPr>
        <w:fldChar w:fldCharType="end"/>
      </w:r>
      <w:r>
        <w:rPr>
          <w:rFonts w:hint="eastAsia" w:ascii="仿宋" w:hAnsi="仿宋" w:eastAsia="仿宋" w:cs="仿宋"/>
          <w:b/>
          <w:bCs/>
          <w:color w:val="000000" w:themeColor="text1"/>
          <w:kern w:val="0"/>
          <w:sz w:val="28"/>
          <w:szCs w:val="28"/>
          <w14:textFill>
            <w14:solidFill>
              <w14:schemeClr w14:val="tx1"/>
            </w14:solidFill>
          </w14:textFill>
        </w:rPr>
        <w:fldChar w:fldCharType="end"/>
      </w:r>
    </w:p>
    <w:p>
      <w:pPr>
        <w:pStyle w:val="12"/>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kern w:val="0"/>
          <w:sz w:val="28"/>
          <w:szCs w:val="28"/>
          <w14:textFill>
            <w14:solidFill>
              <w14:schemeClr w14:val="tx1"/>
            </w14:solidFill>
          </w14:textFill>
        </w:rPr>
        <w:fldChar w:fldCharType="begin"/>
      </w:r>
      <w:r>
        <w:rPr>
          <w:rFonts w:hint="eastAsia" w:ascii="仿宋" w:hAnsi="仿宋" w:eastAsia="仿宋" w:cs="仿宋"/>
          <w:b/>
          <w:bCs/>
          <w:color w:val="000000" w:themeColor="text1"/>
          <w:kern w:val="0"/>
          <w:sz w:val="28"/>
          <w:szCs w:val="28"/>
          <w14:textFill>
            <w14:solidFill>
              <w14:schemeClr w14:val="tx1"/>
            </w14:solidFill>
          </w14:textFill>
        </w:rPr>
        <w:instrText xml:space="preserve"> HYPERLINK \l _Toc3328 </w:instrText>
      </w:r>
      <w:r>
        <w:rPr>
          <w:rFonts w:hint="eastAsia" w:ascii="仿宋" w:hAnsi="仿宋" w:eastAsia="仿宋" w:cs="仿宋"/>
          <w:b/>
          <w:bCs/>
          <w:color w:val="000000" w:themeColor="text1"/>
          <w:kern w:val="0"/>
          <w:sz w:val="28"/>
          <w:szCs w:val="28"/>
          <w14:textFill>
            <w14:solidFill>
              <w14:schemeClr w14:val="tx1"/>
            </w14:solidFill>
          </w14:textFill>
        </w:rPr>
        <w:fldChar w:fldCharType="separate"/>
      </w:r>
      <w:r>
        <w:rPr>
          <w:rFonts w:hint="eastAsia" w:ascii="仿宋" w:hAnsi="仿宋" w:eastAsia="仿宋" w:cs="仿宋"/>
          <w:b/>
          <w:bCs/>
          <w:color w:val="000000" w:themeColor="text1"/>
          <w:kern w:val="0"/>
          <w:sz w:val="28"/>
          <w:szCs w:val="28"/>
          <w14:textFill>
            <w14:solidFill>
              <w14:schemeClr w14:val="tx1"/>
            </w14:solidFill>
          </w14:textFill>
        </w:rPr>
        <w:t>第一部分  毕业生基本情况</w:t>
      </w:r>
      <w:r>
        <w:rPr>
          <w:rFonts w:hint="eastAsia" w:ascii="仿宋" w:hAnsi="仿宋" w:eastAsia="仿宋" w:cs="仿宋"/>
          <w:b/>
          <w:bCs/>
          <w:color w:val="000000" w:themeColor="text1"/>
          <w:sz w:val="28"/>
          <w:szCs w:val="28"/>
          <w14:textFill>
            <w14:solidFill>
              <w14:schemeClr w14:val="tx1"/>
            </w14:solidFill>
          </w14:textFill>
        </w:rPr>
        <w:tab/>
      </w:r>
      <w:r>
        <w:rPr>
          <w:rFonts w:hint="eastAsia" w:ascii="仿宋" w:hAnsi="仿宋" w:eastAsia="仿宋" w:cs="仿宋"/>
          <w:b/>
          <w:bCs/>
          <w:color w:val="000000" w:themeColor="text1"/>
          <w:sz w:val="28"/>
          <w:szCs w:val="28"/>
          <w14:textFill>
            <w14:solidFill>
              <w14:schemeClr w14:val="tx1"/>
            </w14:solidFill>
          </w14:textFill>
        </w:rPr>
        <w:fldChar w:fldCharType="begin"/>
      </w:r>
      <w:r>
        <w:rPr>
          <w:rFonts w:hint="eastAsia" w:ascii="仿宋" w:hAnsi="仿宋" w:eastAsia="仿宋" w:cs="仿宋"/>
          <w:b/>
          <w:bCs/>
          <w:color w:val="000000" w:themeColor="text1"/>
          <w:sz w:val="28"/>
          <w:szCs w:val="28"/>
          <w14:textFill>
            <w14:solidFill>
              <w14:schemeClr w14:val="tx1"/>
            </w14:solidFill>
          </w14:textFill>
        </w:rPr>
        <w:instrText xml:space="preserve"> PAGEREF _Toc3328 </w:instrText>
      </w:r>
      <w:r>
        <w:rPr>
          <w:rFonts w:hint="eastAsia" w:ascii="仿宋" w:hAnsi="仿宋" w:eastAsia="仿宋" w:cs="仿宋"/>
          <w:b/>
          <w:bCs/>
          <w:color w:val="000000" w:themeColor="text1"/>
          <w:sz w:val="28"/>
          <w:szCs w:val="28"/>
          <w14:textFill>
            <w14:solidFill>
              <w14:schemeClr w14:val="tx1"/>
            </w14:solidFill>
          </w14:textFill>
        </w:rPr>
        <w:fldChar w:fldCharType="separate"/>
      </w:r>
      <w:r>
        <w:rPr>
          <w:rFonts w:hint="eastAsia" w:ascii="仿宋" w:hAnsi="仿宋" w:eastAsia="仿宋" w:cs="仿宋"/>
          <w:b/>
          <w:bCs/>
          <w:color w:val="000000" w:themeColor="text1"/>
          <w:sz w:val="28"/>
          <w:szCs w:val="28"/>
          <w14:textFill>
            <w14:solidFill>
              <w14:schemeClr w14:val="tx1"/>
            </w14:solidFill>
          </w14:textFill>
        </w:rPr>
        <w:t>3</w:t>
      </w:r>
      <w:r>
        <w:rPr>
          <w:rFonts w:hint="eastAsia" w:ascii="仿宋" w:hAnsi="仿宋" w:eastAsia="仿宋" w:cs="仿宋"/>
          <w:b/>
          <w:bCs/>
          <w:color w:val="000000" w:themeColor="text1"/>
          <w:sz w:val="28"/>
          <w:szCs w:val="28"/>
          <w14:textFill>
            <w14:solidFill>
              <w14:schemeClr w14:val="tx1"/>
            </w14:solidFill>
          </w14:textFill>
        </w:rPr>
        <w:fldChar w:fldCharType="end"/>
      </w:r>
      <w:r>
        <w:rPr>
          <w:rFonts w:hint="eastAsia" w:ascii="仿宋" w:hAnsi="仿宋" w:eastAsia="仿宋" w:cs="仿宋"/>
          <w:b/>
          <w:bCs/>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_Toc24121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1.1 毕业生总体规模和结构</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_Toc24121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3</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_Toc6252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1.1.1 毕业生性别比例</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_Toc6252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3</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_Toc15213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1.1.2 毕业生民族分布</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_Toc15213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4</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_Toc3086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1.1.3 毕业生生源地区分布</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_Toc3086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5</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_Toc8683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1.1.4 毕业生学科专业结构</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_Toc8683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5</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12"/>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kern w:val="0"/>
          <w:sz w:val="28"/>
          <w:szCs w:val="28"/>
          <w14:textFill>
            <w14:solidFill>
              <w14:schemeClr w14:val="tx1"/>
            </w14:solidFill>
          </w14:textFill>
        </w:rPr>
        <w:fldChar w:fldCharType="begin"/>
      </w:r>
      <w:r>
        <w:rPr>
          <w:rFonts w:hint="eastAsia" w:ascii="仿宋" w:hAnsi="仿宋" w:eastAsia="仿宋" w:cs="仿宋"/>
          <w:b/>
          <w:bCs/>
          <w:color w:val="000000" w:themeColor="text1"/>
          <w:kern w:val="0"/>
          <w:sz w:val="28"/>
          <w:szCs w:val="28"/>
          <w14:textFill>
            <w14:solidFill>
              <w14:schemeClr w14:val="tx1"/>
            </w14:solidFill>
          </w14:textFill>
        </w:rPr>
        <w:instrText xml:space="preserve"> HYPERLINK \l _Toc27398 </w:instrText>
      </w:r>
      <w:r>
        <w:rPr>
          <w:rFonts w:hint="eastAsia" w:ascii="仿宋" w:hAnsi="仿宋" w:eastAsia="仿宋" w:cs="仿宋"/>
          <w:b/>
          <w:bCs/>
          <w:color w:val="000000" w:themeColor="text1"/>
          <w:kern w:val="0"/>
          <w:sz w:val="28"/>
          <w:szCs w:val="28"/>
          <w14:textFill>
            <w14:solidFill>
              <w14:schemeClr w14:val="tx1"/>
            </w14:solidFill>
          </w14:textFill>
        </w:rPr>
        <w:fldChar w:fldCharType="separate"/>
      </w:r>
      <w:r>
        <w:rPr>
          <w:rFonts w:hint="eastAsia" w:ascii="仿宋" w:hAnsi="仿宋" w:eastAsia="仿宋" w:cs="仿宋"/>
          <w:b/>
          <w:bCs/>
          <w:color w:val="000000" w:themeColor="text1"/>
          <w:kern w:val="0"/>
          <w:sz w:val="28"/>
          <w:szCs w:val="28"/>
          <w14:textFill>
            <w14:solidFill>
              <w14:schemeClr w14:val="tx1"/>
            </w14:solidFill>
          </w14:textFill>
        </w:rPr>
        <w:t>第二部分  毕业生就业状况</w:t>
      </w:r>
      <w:r>
        <w:rPr>
          <w:rFonts w:hint="eastAsia" w:ascii="仿宋" w:hAnsi="仿宋" w:eastAsia="仿宋" w:cs="仿宋"/>
          <w:b/>
          <w:bCs/>
          <w:color w:val="000000" w:themeColor="text1"/>
          <w:sz w:val="28"/>
          <w:szCs w:val="28"/>
          <w14:textFill>
            <w14:solidFill>
              <w14:schemeClr w14:val="tx1"/>
            </w14:solidFill>
          </w14:textFill>
        </w:rPr>
        <w:tab/>
      </w:r>
      <w:r>
        <w:rPr>
          <w:rFonts w:hint="eastAsia" w:ascii="仿宋" w:hAnsi="仿宋" w:eastAsia="仿宋" w:cs="仿宋"/>
          <w:b/>
          <w:bCs/>
          <w:color w:val="000000" w:themeColor="text1"/>
          <w:sz w:val="28"/>
          <w:szCs w:val="28"/>
          <w14:textFill>
            <w14:solidFill>
              <w14:schemeClr w14:val="tx1"/>
            </w14:solidFill>
          </w14:textFill>
        </w:rPr>
        <w:fldChar w:fldCharType="begin"/>
      </w:r>
      <w:r>
        <w:rPr>
          <w:rFonts w:hint="eastAsia" w:ascii="仿宋" w:hAnsi="仿宋" w:eastAsia="仿宋" w:cs="仿宋"/>
          <w:b/>
          <w:bCs/>
          <w:color w:val="000000" w:themeColor="text1"/>
          <w:sz w:val="28"/>
          <w:szCs w:val="28"/>
          <w14:textFill>
            <w14:solidFill>
              <w14:schemeClr w14:val="tx1"/>
            </w14:solidFill>
          </w14:textFill>
        </w:rPr>
        <w:instrText xml:space="preserve"> PAGEREF _Toc27398 </w:instrText>
      </w:r>
      <w:r>
        <w:rPr>
          <w:rFonts w:hint="eastAsia" w:ascii="仿宋" w:hAnsi="仿宋" w:eastAsia="仿宋" w:cs="仿宋"/>
          <w:b/>
          <w:bCs/>
          <w:color w:val="000000" w:themeColor="text1"/>
          <w:sz w:val="28"/>
          <w:szCs w:val="28"/>
          <w14:textFill>
            <w14:solidFill>
              <w14:schemeClr w14:val="tx1"/>
            </w14:solidFill>
          </w14:textFill>
        </w:rPr>
        <w:fldChar w:fldCharType="separate"/>
      </w:r>
      <w:r>
        <w:rPr>
          <w:rFonts w:hint="eastAsia" w:ascii="仿宋" w:hAnsi="仿宋" w:eastAsia="仿宋" w:cs="仿宋"/>
          <w:b/>
          <w:bCs/>
          <w:color w:val="000000" w:themeColor="text1"/>
          <w:sz w:val="28"/>
          <w:szCs w:val="28"/>
          <w14:textFill>
            <w14:solidFill>
              <w14:schemeClr w14:val="tx1"/>
            </w14:solidFill>
          </w14:textFill>
        </w:rPr>
        <w:t>8</w:t>
      </w:r>
      <w:r>
        <w:rPr>
          <w:rFonts w:hint="eastAsia" w:ascii="仿宋" w:hAnsi="仿宋" w:eastAsia="仿宋" w:cs="仿宋"/>
          <w:b/>
          <w:bCs/>
          <w:color w:val="000000" w:themeColor="text1"/>
          <w:sz w:val="28"/>
          <w:szCs w:val="28"/>
          <w14:textFill>
            <w14:solidFill>
              <w14:schemeClr w14:val="tx1"/>
            </w14:solidFill>
          </w14:textFill>
        </w:rPr>
        <w:fldChar w:fldCharType="end"/>
      </w:r>
      <w:r>
        <w:rPr>
          <w:rFonts w:hint="eastAsia" w:ascii="仿宋" w:hAnsi="仿宋" w:eastAsia="仿宋" w:cs="仿宋"/>
          <w:b/>
          <w:bCs/>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_Toc18898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2.1</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整体就业率</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_Toc18898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8</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_Toc12422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2.2 毕业去向</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_Toc12422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8</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_Toc7892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2.2.１</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lang w:eastAsia="zh-CN"/>
          <w14:textFill>
            <w14:solidFill>
              <w14:schemeClr w14:val="tx1"/>
            </w14:solidFill>
          </w14:textFill>
        </w:rPr>
        <w:t>各二级学院</w:t>
      </w:r>
      <w:r>
        <w:rPr>
          <w:rFonts w:hint="eastAsia" w:ascii="仿宋" w:hAnsi="仿宋" w:eastAsia="仿宋" w:cs="仿宋"/>
          <w:color w:val="000000" w:themeColor="text1"/>
          <w:sz w:val="28"/>
          <w:szCs w:val="28"/>
          <w14:textFill>
            <w14:solidFill>
              <w14:schemeClr w14:val="tx1"/>
            </w14:solidFill>
          </w14:textFill>
        </w:rPr>
        <w:t>毕业生就业状况</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_Toc7892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8</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_Toc10651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2.2.2</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各学科专业就业情况</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_Toc10651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9</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_Toc4451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2.3 毕业生就业结构</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_Toc4451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10</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_Toc26143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2.3.1 就业地域分布</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_Toc26143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10</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_Toc5724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2.3.2 单位行业流向</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_Toc5724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12</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_Toc16962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2.3.3 单位性质</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_Toc16962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13</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_Toc28909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2.3.4 升学分析</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_Toc28909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14</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_Toc21834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2.3.5 国内外升学情况</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_Toc21834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14</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_Toc200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2.3.6 重点流向院校</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_Toc200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15</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_Toc14210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2.3.7 重点单位就业</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_Toc14210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17</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12"/>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kern w:val="0"/>
          <w:sz w:val="28"/>
          <w:szCs w:val="28"/>
          <w14:textFill>
            <w14:solidFill>
              <w14:schemeClr w14:val="tx1"/>
            </w14:solidFill>
          </w14:textFill>
        </w:rPr>
        <w:fldChar w:fldCharType="begin"/>
      </w:r>
      <w:r>
        <w:rPr>
          <w:rFonts w:hint="eastAsia" w:ascii="仿宋" w:hAnsi="仿宋" w:eastAsia="仿宋" w:cs="仿宋"/>
          <w:b/>
          <w:bCs/>
          <w:color w:val="000000" w:themeColor="text1"/>
          <w:kern w:val="0"/>
          <w:sz w:val="28"/>
          <w:szCs w:val="28"/>
          <w14:textFill>
            <w14:solidFill>
              <w14:schemeClr w14:val="tx1"/>
            </w14:solidFill>
          </w14:textFill>
        </w:rPr>
        <w:instrText xml:space="preserve"> HYPERLINK \l _Toc24294 </w:instrText>
      </w:r>
      <w:r>
        <w:rPr>
          <w:rFonts w:hint="eastAsia" w:ascii="仿宋" w:hAnsi="仿宋" w:eastAsia="仿宋" w:cs="仿宋"/>
          <w:b/>
          <w:bCs/>
          <w:color w:val="000000" w:themeColor="text1"/>
          <w:kern w:val="0"/>
          <w:sz w:val="28"/>
          <w:szCs w:val="28"/>
          <w14:textFill>
            <w14:solidFill>
              <w14:schemeClr w14:val="tx1"/>
            </w14:solidFill>
          </w14:textFill>
        </w:rPr>
        <w:fldChar w:fldCharType="separate"/>
      </w:r>
      <w:r>
        <w:rPr>
          <w:rFonts w:hint="eastAsia" w:ascii="仿宋" w:hAnsi="仿宋" w:eastAsia="仿宋" w:cs="仿宋"/>
          <w:b/>
          <w:bCs/>
          <w:color w:val="000000" w:themeColor="text1"/>
          <w:kern w:val="0"/>
          <w:sz w:val="28"/>
          <w:szCs w:val="28"/>
          <w14:textFill>
            <w14:solidFill>
              <w14:schemeClr w14:val="tx1"/>
            </w14:solidFill>
          </w14:textFill>
        </w:rPr>
        <w:t>第三部分  就业相关分析</w:t>
      </w:r>
      <w:r>
        <w:rPr>
          <w:rFonts w:hint="eastAsia" w:ascii="仿宋" w:hAnsi="仿宋" w:eastAsia="仿宋" w:cs="仿宋"/>
          <w:b/>
          <w:bCs/>
          <w:color w:val="000000" w:themeColor="text1"/>
          <w:sz w:val="28"/>
          <w:szCs w:val="28"/>
          <w14:textFill>
            <w14:solidFill>
              <w14:schemeClr w14:val="tx1"/>
            </w14:solidFill>
          </w14:textFill>
        </w:rPr>
        <w:tab/>
      </w:r>
      <w:r>
        <w:rPr>
          <w:rFonts w:hint="eastAsia" w:ascii="仿宋" w:hAnsi="仿宋" w:eastAsia="仿宋" w:cs="仿宋"/>
          <w:b/>
          <w:bCs/>
          <w:color w:val="000000" w:themeColor="text1"/>
          <w:sz w:val="28"/>
          <w:szCs w:val="28"/>
          <w14:textFill>
            <w14:solidFill>
              <w14:schemeClr w14:val="tx1"/>
            </w14:solidFill>
          </w14:textFill>
        </w:rPr>
        <w:fldChar w:fldCharType="begin"/>
      </w:r>
      <w:r>
        <w:rPr>
          <w:rFonts w:hint="eastAsia" w:ascii="仿宋" w:hAnsi="仿宋" w:eastAsia="仿宋" w:cs="仿宋"/>
          <w:b/>
          <w:bCs/>
          <w:color w:val="000000" w:themeColor="text1"/>
          <w:sz w:val="28"/>
          <w:szCs w:val="28"/>
          <w14:textFill>
            <w14:solidFill>
              <w14:schemeClr w14:val="tx1"/>
            </w14:solidFill>
          </w14:textFill>
        </w:rPr>
        <w:instrText xml:space="preserve"> PAGEREF _Toc24294 </w:instrText>
      </w:r>
      <w:r>
        <w:rPr>
          <w:rFonts w:hint="eastAsia" w:ascii="仿宋" w:hAnsi="仿宋" w:eastAsia="仿宋" w:cs="仿宋"/>
          <w:b/>
          <w:bCs/>
          <w:color w:val="000000" w:themeColor="text1"/>
          <w:sz w:val="28"/>
          <w:szCs w:val="28"/>
          <w14:textFill>
            <w14:solidFill>
              <w14:schemeClr w14:val="tx1"/>
            </w14:solidFill>
          </w14:textFill>
        </w:rPr>
        <w:fldChar w:fldCharType="separate"/>
      </w:r>
      <w:r>
        <w:rPr>
          <w:rFonts w:hint="eastAsia" w:ascii="仿宋" w:hAnsi="仿宋" w:eastAsia="仿宋" w:cs="仿宋"/>
          <w:b/>
          <w:bCs/>
          <w:color w:val="000000" w:themeColor="text1"/>
          <w:sz w:val="28"/>
          <w:szCs w:val="28"/>
          <w14:textFill>
            <w14:solidFill>
              <w14:schemeClr w14:val="tx1"/>
            </w14:solidFill>
          </w14:textFill>
        </w:rPr>
        <w:t>21</w:t>
      </w:r>
      <w:r>
        <w:rPr>
          <w:rFonts w:hint="eastAsia" w:ascii="仿宋" w:hAnsi="仿宋" w:eastAsia="仿宋" w:cs="仿宋"/>
          <w:b/>
          <w:bCs/>
          <w:color w:val="000000" w:themeColor="text1"/>
          <w:sz w:val="28"/>
          <w:szCs w:val="28"/>
          <w14:textFill>
            <w14:solidFill>
              <w14:schemeClr w14:val="tx1"/>
            </w14:solidFill>
          </w14:textFill>
        </w:rPr>
        <w:fldChar w:fldCharType="end"/>
      </w:r>
      <w:r>
        <w:rPr>
          <w:rFonts w:hint="eastAsia" w:ascii="仿宋" w:hAnsi="仿宋" w:eastAsia="仿宋" w:cs="仿宋"/>
          <w:b/>
          <w:bCs/>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_Toc24687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3.1</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就业质量分析</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_Toc24687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21</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_Toc9574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3.1.1</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就业单位与专业相关度的评价</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_Toc9574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21</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_Toc10170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3.1.2 毕业生对当前就业状况满意度的评价</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_Toc10170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22</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_Toc25414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lang w:val="en-US" w:eastAsia="zh-CN"/>
          <w14:textFill>
            <w14:solidFill>
              <w14:schemeClr w14:val="tx1"/>
            </w14:solidFill>
          </w14:textFill>
        </w:rPr>
        <w:t xml:space="preserve">3.1.3 </w:t>
      </w:r>
      <w:r>
        <w:rPr>
          <w:rFonts w:hint="eastAsia" w:ascii="仿宋" w:hAnsi="仿宋" w:eastAsia="仿宋" w:cs="仿宋"/>
          <w:color w:val="000000" w:themeColor="text1"/>
          <w:sz w:val="28"/>
          <w:szCs w:val="28"/>
          <w14:textFill>
            <w14:solidFill>
              <w14:schemeClr w14:val="tx1"/>
            </w14:solidFill>
          </w14:textFill>
        </w:rPr>
        <w:t>毕业生</w:t>
      </w:r>
      <w:r>
        <w:rPr>
          <w:rFonts w:hint="eastAsia" w:ascii="仿宋" w:hAnsi="仿宋" w:eastAsia="仿宋" w:cs="仿宋"/>
          <w:color w:val="000000" w:themeColor="text1"/>
          <w:sz w:val="28"/>
          <w:szCs w:val="28"/>
          <w:lang w:eastAsia="zh-CN"/>
          <w14:textFill>
            <w14:solidFill>
              <w14:schemeClr w14:val="tx1"/>
            </w14:solidFill>
          </w14:textFill>
        </w:rPr>
        <w:t>从事的工作与职业期望值匹配情况分析</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_Toc25414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23</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_Toc1658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3.1.</w:t>
      </w:r>
      <w:r>
        <w:rPr>
          <w:rFonts w:hint="eastAsia" w:ascii="仿宋" w:hAnsi="仿宋" w:eastAsia="仿宋" w:cs="仿宋"/>
          <w:color w:val="000000" w:themeColor="text1"/>
          <w:sz w:val="28"/>
          <w:szCs w:val="28"/>
          <w:lang w:val="en-US" w:eastAsia="zh-CN"/>
          <w14:textFill>
            <w14:solidFill>
              <w14:schemeClr w14:val="tx1"/>
            </w14:solidFill>
          </w14:textFill>
        </w:rPr>
        <w:t xml:space="preserve">4 </w:t>
      </w:r>
      <w:r>
        <w:rPr>
          <w:rFonts w:hint="eastAsia" w:ascii="仿宋" w:hAnsi="仿宋" w:eastAsia="仿宋" w:cs="仿宋"/>
          <w:color w:val="000000" w:themeColor="text1"/>
          <w:sz w:val="28"/>
          <w:szCs w:val="28"/>
          <w14:textFill>
            <w14:solidFill>
              <w14:schemeClr w14:val="tx1"/>
            </w14:solidFill>
          </w14:textFill>
        </w:rPr>
        <w:t>毕业生签约就业时，月薪</w:t>
      </w:r>
      <w:r>
        <w:rPr>
          <w:rFonts w:hint="eastAsia" w:ascii="仿宋" w:hAnsi="仿宋" w:eastAsia="仿宋" w:cs="仿宋"/>
          <w:color w:val="000000" w:themeColor="text1"/>
          <w:sz w:val="28"/>
          <w:szCs w:val="28"/>
          <w:lang w:eastAsia="zh-CN"/>
          <w14:textFill>
            <w14:solidFill>
              <w14:schemeClr w14:val="tx1"/>
            </w14:solidFill>
          </w14:textFill>
        </w:rPr>
        <w:t>情况分析</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_Toc1658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24</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8"/>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_Toc778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3.1.</w:t>
      </w:r>
      <w:r>
        <w:rPr>
          <w:rFonts w:hint="eastAsia" w:ascii="仿宋" w:hAnsi="仿宋" w:eastAsia="仿宋" w:cs="仿宋"/>
          <w:color w:val="000000" w:themeColor="text1"/>
          <w:sz w:val="28"/>
          <w:szCs w:val="28"/>
          <w:lang w:val="en-US" w:eastAsia="zh-CN"/>
          <w14:textFill>
            <w14:solidFill>
              <w14:schemeClr w14:val="tx1"/>
            </w14:solidFill>
          </w14:textFill>
        </w:rPr>
        <w:t>5</w:t>
      </w:r>
      <w:r>
        <w:rPr>
          <w:rFonts w:hint="eastAsia" w:ascii="仿宋" w:hAnsi="仿宋" w:eastAsia="仿宋" w:cs="仿宋"/>
          <w:color w:val="000000" w:themeColor="text1"/>
          <w:sz w:val="28"/>
          <w:szCs w:val="28"/>
          <w14:textFill>
            <w14:solidFill>
              <w14:schemeClr w14:val="tx1"/>
            </w14:solidFill>
          </w14:textFill>
        </w:rPr>
        <w:t xml:space="preserve"> 用人单位评价</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_Toc778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24</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12"/>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kern w:val="0"/>
          <w:sz w:val="28"/>
          <w:szCs w:val="28"/>
          <w14:textFill>
            <w14:solidFill>
              <w14:schemeClr w14:val="tx1"/>
            </w14:solidFill>
          </w14:textFill>
        </w:rPr>
        <w:fldChar w:fldCharType="begin"/>
      </w:r>
      <w:r>
        <w:rPr>
          <w:rFonts w:hint="eastAsia" w:ascii="仿宋" w:hAnsi="仿宋" w:eastAsia="仿宋" w:cs="仿宋"/>
          <w:b/>
          <w:bCs/>
          <w:color w:val="000000" w:themeColor="text1"/>
          <w:kern w:val="0"/>
          <w:sz w:val="28"/>
          <w:szCs w:val="28"/>
          <w14:textFill>
            <w14:solidFill>
              <w14:schemeClr w14:val="tx1"/>
            </w14:solidFill>
          </w14:textFill>
        </w:rPr>
        <w:instrText xml:space="preserve"> HYPERLINK \l _Toc25536 </w:instrText>
      </w:r>
      <w:r>
        <w:rPr>
          <w:rFonts w:hint="eastAsia" w:ascii="仿宋" w:hAnsi="仿宋" w:eastAsia="仿宋" w:cs="仿宋"/>
          <w:b/>
          <w:bCs/>
          <w:color w:val="000000" w:themeColor="text1"/>
          <w:kern w:val="0"/>
          <w:sz w:val="28"/>
          <w:szCs w:val="28"/>
          <w14:textFill>
            <w14:solidFill>
              <w14:schemeClr w14:val="tx1"/>
            </w14:solidFill>
          </w14:textFill>
        </w:rPr>
        <w:fldChar w:fldCharType="separate"/>
      </w:r>
      <w:r>
        <w:rPr>
          <w:rFonts w:hint="eastAsia" w:ascii="仿宋" w:hAnsi="仿宋" w:eastAsia="仿宋" w:cs="仿宋"/>
          <w:b/>
          <w:bCs/>
          <w:color w:val="000000" w:themeColor="text1"/>
          <w:kern w:val="0"/>
          <w:sz w:val="28"/>
          <w:szCs w:val="28"/>
          <w14:textFill>
            <w14:solidFill>
              <w14:schemeClr w14:val="tx1"/>
            </w14:solidFill>
          </w14:textFill>
        </w:rPr>
        <w:t>第四部分  对教育教学的反馈</w:t>
      </w:r>
      <w:r>
        <w:rPr>
          <w:rFonts w:hint="eastAsia" w:ascii="仿宋" w:hAnsi="仿宋" w:eastAsia="仿宋" w:cs="仿宋"/>
          <w:b/>
          <w:bCs/>
          <w:color w:val="000000" w:themeColor="text1"/>
          <w:sz w:val="28"/>
          <w:szCs w:val="28"/>
          <w14:textFill>
            <w14:solidFill>
              <w14:schemeClr w14:val="tx1"/>
            </w14:solidFill>
          </w14:textFill>
        </w:rPr>
        <w:tab/>
      </w:r>
      <w:r>
        <w:rPr>
          <w:rFonts w:hint="eastAsia" w:ascii="仿宋" w:hAnsi="仿宋" w:eastAsia="仿宋" w:cs="仿宋"/>
          <w:b/>
          <w:bCs/>
          <w:color w:val="000000" w:themeColor="text1"/>
          <w:sz w:val="28"/>
          <w:szCs w:val="28"/>
          <w14:textFill>
            <w14:solidFill>
              <w14:schemeClr w14:val="tx1"/>
            </w14:solidFill>
          </w14:textFill>
        </w:rPr>
        <w:fldChar w:fldCharType="begin"/>
      </w:r>
      <w:r>
        <w:rPr>
          <w:rFonts w:hint="eastAsia" w:ascii="仿宋" w:hAnsi="仿宋" w:eastAsia="仿宋" w:cs="仿宋"/>
          <w:b/>
          <w:bCs/>
          <w:color w:val="000000" w:themeColor="text1"/>
          <w:sz w:val="28"/>
          <w:szCs w:val="28"/>
          <w14:textFill>
            <w14:solidFill>
              <w14:schemeClr w14:val="tx1"/>
            </w14:solidFill>
          </w14:textFill>
        </w:rPr>
        <w:instrText xml:space="preserve"> PAGEREF _Toc25536 </w:instrText>
      </w:r>
      <w:r>
        <w:rPr>
          <w:rFonts w:hint="eastAsia" w:ascii="仿宋" w:hAnsi="仿宋" w:eastAsia="仿宋" w:cs="仿宋"/>
          <w:b/>
          <w:bCs/>
          <w:color w:val="000000" w:themeColor="text1"/>
          <w:sz w:val="28"/>
          <w:szCs w:val="28"/>
          <w14:textFill>
            <w14:solidFill>
              <w14:schemeClr w14:val="tx1"/>
            </w14:solidFill>
          </w14:textFill>
        </w:rPr>
        <w:fldChar w:fldCharType="separate"/>
      </w:r>
      <w:r>
        <w:rPr>
          <w:rFonts w:hint="eastAsia" w:ascii="仿宋" w:hAnsi="仿宋" w:eastAsia="仿宋" w:cs="仿宋"/>
          <w:b/>
          <w:bCs/>
          <w:color w:val="000000" w:themeColor="text1"/>
          <w:sz w:val="28"/>
          <w:szCs w:val="28"/>
          <w14:textFill>
            <w14:solidFill>
              <w14:schemeClr w14:val="tx1"/>
            </w14:solidFill>
          </w14:textFill>
        </w:rPr>
        <w:t>26</w:t>
      </w:r>
      <w:r>
        <w:rPr>
          <w:rFonts w:hint="eastAsia" w:ascii="仿宋" w:hAnsi="仿宋" w:eastAsia="仿宋" w:cs="仿宋"/>
          <w:b/>
          <w:bCs/>
          <w:color w:val="000000" w:themeColor="text1"/>
          <w:sz w:val="28"/>
          <w:szCs w:val="28"/>
          <w14:textFill>
            <w14:solidFill>
              <w14:schemeClr w14:val="tx1"/>
            </w14:solidFill>
          </w14:textFill>
        </w:rPr>
        <w:fldChar w:fldCharType="end"/>
      </w:r>
      <w:r>
        <w:rPr>
          <w:rFonts w:hint="eastAsia" w:ascii="仿宋" w:hAnsi="仿宋" w:eastAsia="仿宋" w:cs="仿宋"/>
          <w:b/>
          <w:bCs/>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_Toc25496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bCs/>
          <w:color w:val="000000" w:themeColor="text1"/>
          <w:kern w:val="2"/>
          <w:sz w:val="28"/>
          <w:szCs w:val="28"/>
          <w:lang w:val="en-US" w:eastAsia="zh-CN" w:bidi="ar-SA"/>
          <w14:textFill>
            <w14:solidFill>
              <w14:schemeClr w14:val="tx1"/>
            </w14:solidFill>
          </w14:textFill>
        </w:rPr>
        <w:t xml:space="preserve">4.1 </w:t>
      </w:r>
      <w:r>
        <w:rPr>
          <w:rFonts w:hint="eastAsia" w:ascii="仿宋" w:hAnsi="仿宋" w:eastAsia="仿宋" w:cs="仿宋"/>
          <w:bCs/>
          <w:color w:val="000000" w:themeColor="text1"/>
          <w:spacing w:val="-20"/>
          <w:kern w:val="2"/>
          <w:sz w:val="28"/>
          <w:szCs w:val="28"/>
          <w:lang w:val="en-US" w:eastAsia="zh-CN" w:bidi="ar-SA"/>
          <w14:textFill>
            <w14:solidFill>
              <w14:schemeClr w14:val="tx1"/>
            </w14:solidFill>
          </w14:textFill>
        </w:rPr>
        <w:t>以就业为抓手，建立招生、专业设置与就业良性联动机制</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_Toc25496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26</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_Toc20118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bCs/>
          <w:color w:val="000000" w:themeColor="text1"/>
          <w:kern w:val="2"/>
          <w:sz w:val="28"/>
          <w:szCs w:val="28"/>
          <w:lang w:val="en-US" w:eastAsia="zh-CN" w:bidi="ar-SA"/>
          <w14:textFill>
            <w14:solidFill>
              <w14:schemeClr w14:val="tx1"/>
            </w14:solidFill>
          </w14:textFill>
        </w:rPr>
        <w:t xml:space="preserve">4.2 </w:t>
      </w:r>
      <w:r>
        <w:rPr>
          <w:rFonts w:hint="eastAsia" w:ascii="仿宋" w:hAnsi="仿宋" w:eastAsia="仿宋" w:cs="仿宋"/>
          <w:bCs/>
          <w:color w:val="000000" w:themeColor="text1"/>
          <w:spacing w:val="-23"/>
          <w:kern w:val="2"/>
          <w:sz w:val="28"/>
          <w:szCs w:val="28"/>
          <w:lang w:val="en-US" w:eastAsia="zh-CN" w:bidi="ar-SA"/>
          <w14:textFill>
            <w14:solidFill>
              <w14:schemeClr w14:val="tx1"/>
            </w14:solidFill>
          </w14:textFill>
        </w:rPr>
        <w:t>以市场为导向，构建招生、人才培养与社会需求内在关联体系</w:t>
      </w:r>
      <w:r>
        <w:rPr>
          <w:rFonts w:hint="eastAsia" w:ascii="仿宋" w:hAnsi="仿宋" w:eastAsia="仿宋" w:cs="仿宋"/>
          <w:color w:val="000000" w:themeColor="text1"/>
          <w:spacing w:val="-1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_Toc20118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26</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_Toc7358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bCs/>
          <w:color w:val="000000" w:themeColor="text1"/>
          <w:kern w:val="2"/>
          <w:sz w:val="28"/>
          <w:szCs w:val="28"/>
          <w:lang w:val="en-US" w:eastAsia="zh-CN" w:bidi="ar-SA"/>
          <w14:textFill>
            <w14:solidFill>
              <w14:schemeClr w14:val="tx1"/>
            </w14:solidFill>
          </w14:textFill>
        </w:rPr>
        <w:t>4.3 用人单位对我校毕业生质量的评价</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_Toc7358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27</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_Toc22729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4.4</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毕业生对学校人才培养满意度的评价</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_Toc22729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28</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12"/>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kern w:val="0"/>
          <w:sz w:val="28"/>
          <w:szCs w:val="28"/>
          <w14:textFill>
            <w14:solidFill>
              <w14:schemeClr w14:val="tx1"/>
            </w14:solidFill>
          </w14:textFill>
        </w:rPr>
        <w:fldChar w:fldCharType="begin"/>
      </w:r>
      <w:r>
        <w:rPr>
          <w:rFonts w:hint="eastAsia" w:ascii="仿宋" w:hAnsi="仿宋" w:eastAsia="仿宋" w:cs="仿宋"/>
          <w:b/>
          <w:bCs/>
          <w:color w:val="000000" w:themeColor="text1"/>
          <w:kern w:val="0"/>
          <w:sz w:val="28"/>
          <w:szCs w:val="28"/>
          <w14:textFill>
            <w14:solidFill>
              <w14:schemeClr w14:val="tx1"/>
            </w14:solidFill>
          </w14:textFill>
        </w:rPr>
        <w:instrText xml:space="preserve"> HYPERLINK \l _Toc30032 </w:instrText>
      </w:r>
      <w:r>
        <w:rPr>
          <w:rFonts w:hint="eastAsia" w:ascii="仿宋" w:hAnsi="仿宋" w:eastAsia="仿宋" w:cs="仿宋"/>
          <w:b/>
          <w:bCs/>
          <w:color w:val="000000" w:themeColor="text1"/>
          <w:kern w:val="0"/>
          <w:sz w:val="28"/>
          <w:szCs w:val="28"/>
          <w14:textFill>
            <w14:solidFill>
              <w14:schemeClr w14:val="tx1"/>
            </w14:solidFill>
          </w14:textFill>
        </w:rPr>
        <w:fldChar w:fldCharType="separate"/>
      </w:r>
      <w:r>
        <w:rPr>
          <w:rFonts w:hint="eastAsia" w:ascii="仿宋" w:hAnsi="仿宋" w:eastAsia="仿宋" w:cs="仿宋"/>
          <w:b/>
          <w:bCs/>
          <w:color w:val="000000" w:themeColor="text1"/>
          <w:kern w:val="0"/>
          <w:sz w:val="28"/>
          <w:szCs w:val="28"/>
          <w14:textFill>
            <w14:solidFill>
              <w14:schemeClr w14:val="tx1"/>
            </w14:solidFill>
          </w14:textFill>
        </w:rPr>
        <w:t>第五部分</w:t>
      </w:r>
      <w:r>
        <w:rPr>
          <w:rFonts w:hint="eastAsia" w:ascii="仿宋" w:hAnsi="仿宋" w:eastAsia="仿宋" w:cs="仿宋"/>
          <w:b/>
          <w:bCs/>
          <w:color w:val="000000" w:themeColor="text1"/>
          <w:kern w:val="0"/>
          <w:sz w:val="28"/>
          <w:szCs w:val="28"/>
          <w:lang w:val="en-US" w:eastAsia="zh-CN"/>
          <w14:textFill>
            <w14:solidFill>
              <w14:schemeClr w14:val="tx1"/>
            </w14:solidFill>
          </w14:textFill>
        </w:rPr>
        <w:t xml:space="preserve"> </w:t>
      </w:r>
      <w:r>
        <w:rPr>
          <w:rFonts w:hint="eastAsia" w:ascii="仿宋" w:hAnsi="仿宋" w:eastAsia="仿宋" w:cs="仿宋"/>
          <w:b/>
          <w:bCs/>
          <w:color w:val="000000" w:themeColor="text1"/>
          <w:kern w:val="0"/>
          <w:sz w:val="28"/>
          <w:szCs w:val="28"/>
          <w14:textFill>
            <w14:solidFill>
              <w14:schemeClr w14:val="tx1"/>
            </w14:solidFill>
          </w14:textFill>
        </w:rPr>
        <w:t xml:space="preserve"> 就业创业工作的主要措施及特点</w:t>
      </w:r>
      <w:r>
        <w:rPr>
          <w:rFonts w:hint="eastAsia" w:ascii="仿宋" w:hAnsi="仿宋" w:eastAsia="仿宋" w:cs="仿宋"/>
          <w:b/>
          <w:bCs/>
          <w:color w:val="000000" w:themeColor="text1"/>
          <w:sz w:val="28"/>
          <w:szCs w:val="28"/>
          <w14:textFill>
            <w14:solidFill>
              <w14:schemeClr w14:val="tx1"/>
            </w14:solidFill>
          </w14:textFill>
        </w:rPr>
        <w:tab/>
      </w:r>
      <w:r>
        <w:rPr>
          <w:rFonts w:hint="eastAsia" w:ascii="仿宋" w:hAnsi="仿宋" w:eastAsia="仿宋" w:cs="仿宋"/>
          <w:b/>
          <w:bCs/>
          <w:color w:val="000000" w:themeColor="text1"/>
          <w:sz w:val="28"/>
          <w:szCs w:val="28"/>
          <w14:textFill>
            <w14:solidFill>
              <w14:schemeClr w14:val="tx1"/>
            </w14:solidFill>
          </w14:textFill>
        </w:rPr>
        <w:fldChar w:fldCharType="begin"/>
      </w:r>
      <w:r>
        <w:rPr>
          <w:rFonts w:hint="eastAsia" w:ascii="仿宋" w:hAnsi="仿宋" w:eastAsia="仿宋" w:cs="仿宋"/>
          <w:b/>
          <w:bCs/>
          <w:color w:val="000000" w:themeColor="text1"/>
          <w:sz w:val="28"/>
          <w:szCs w:val="28"/>
          <w14:textFill>
            <w14:solidFill>
              <w14:schemeClr w14:val="tx1"/>
            </w14:solidFill>
          </w14:textFill>
        </w:rPr>
        <w:instrText xml:space="preserve"> PAGEREF _Toc30032 </w:instrText>
      </w:r>
      <w:r>
        <w:rPr>
          <w:rFonts w:hint="eastAsia" w:ascii="仿宋" w:hAnsi="仿宋" w:eastAsia="仿宋" w:cs="仿宋"/>
          <w:b/>
          <w:bCs/>
          <w:color w:val="000000" w:themeColor="text1"/>
          <w:sz w:val="28"/>
          <w:szCs w:val="28"/>
          <w14:textFill>
            <w14:solidFill>
              <w14:schemeClr w14:val="tx1"/>
            </w14:solidFill>
          </w14:textFill>
        </w:rPr>
        <w:fldChar w:fldCharType="separate"/>
      </w:r>
      <w:r>
        <w:rPr>
          <w:rFonts w:hint="eastAsia" w:ascii="仿宋" w:hAnsi="仿宋" w:eastAsia="仿宋" w:cs="仿宋"/>
          <w:b/>
          <w:bCs/>
          <w:color w:val="000000" w:themeColor="text1"/>
          <w:sz w:val="28"/>
          <w:szCs w:val="28"/>
          <w14:textFill>
            <w14:solidFill>
              <w14:schemeClr w14:val="tx1"/>
            </w14:solidFill>
          </w14:textFill>
        </w:rPr>
        <w:t>29</w:t>
      </w:r>
      <w:r>
        <w:rPr>
          <w:rFonts w:hint="eastAsia" w:ascii="仿宋" w:hAnsi="仿宋" w:eastAsia="仿宋" w:cs="仿宋"/>
          <w:b/>
          <w:bCs/>
          <w:color w:val="000000" w:themeColor="text1"/>
          <w:sz w:val="28"/>
          <w:szCs w:val="28"/>
          <w14:textFill>
            <w14:solidFill>
              <w14:schemeClr w14:val="tx1"/>
            </w14:solidFill>
          </w14:textFill>
        </w:rPr>
        <w:fldChar w:fldCharType="end"/>
      </w:r>
      <w:r>
        <w:rPr>
          <w:rFonts w:hint="eastAsia" w:ascii="仿宋" w:hAnsi="仿宋" w:eastAsia="仿宋" w:cs="仿宋"/>
          <w:b/>
          <w:bCs/>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_Toc8504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bCs/>
          <w:color w:val="000000" w:themeColor="text1"/>
          <w:kern w:val="2"/>
          <w:sz w:val="28"/>
          <w:szCs w:val="28"/>
          <w:lang w:val="en-US" w:eastAsia="zh-CN" w:bidi="ar-SA"/>
          <w14:textFill>
            <w14:solidFill>
              <w14:schemeClr w14:val="tx1"/>
            </w14:solidFill>
          </w14:textFill>
        </w:rPr>
        <w:t>5.1 领导重视，大力实施“一把手”工程</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_Toc8504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29</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_Toc20873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bCs/>
          <w:color w:val="000000" w:themeColor="text1"/>
          <w:kern w:val="2"/>
          <w:sz w:val="28"/>
          <w:szCs w:val="28"/>
          <w:lang w:val="en-US" w:eastAsia="zh-CN" w:bidi="ar-SA"/>
          <w14:textFill>
            <w14:solidFill>
              <w14:schemeClr w14:val="tx1"/>
            </w14:solidFill>
          </w14:textFill>
        </w:rPr>
        <w:t>5.2 做细做实，竭力完善就业工作体系</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_Toc20873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29</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_Toc12896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bCs/>
          <w:color w:val="000000" w:themeColor="text1"/>
          <w:kern w:val="2"/>
          <w:sz w:val="28"/>
          <w:szCs w:val="28"/>
          <w:lang w:val="en-US" w:eastAsia="zh-CN" w:bidi="ar-SA"/>
          <w14:textFill>
            <w14:solidFill>
              <w14:schemeClr w14:val="tx1"/>
            </w14:solidFill>
          </w14:textFill>
        </w:rPr>
        <w:t>5.3 创新方法，科学凝练优势特色</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_Toc12896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3</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lang w:val="en-US" w:eastAsia="zh-CN"/>
          <w14:textFill>
            <w14:solidFill>
              <w14:schemeClr w14:val="tx1"/>
            </w14:solidFill>
          </w14:textFill>
        </w:rPr>
        <w:t>2</w:t>
      </w:r>
      <w:bookmarkStart w:id="127" w:name="_GoBack"/>
      <w:bookmarkEnd w:id="127"/>
    </w:p>
    <w:p>
      <w:pPr>
        <w:pStyle w:val="12"/>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kern w:val="0"/>
          <w:sz w:val="28"/>
          <w:szCs w:val="28"/>
          <w14:textFill>
            <w14:solidFill>
              <w14:schemeClr w14:val="tx1"/>
            </w14:solidFill>
          </w14:textFill>
        </w:rPr>
        <w:fldChar w:fldCharType="begin"/>
      </w:r>
      <w:r>
        <w:rPr>
          <w:rFonts w:hint="eastAsia" w:ascii="仿宋" w:hAnsi="仿宋" w:eastAsia="仿宋" w:cs="仿宋"/>
          <w:b/>
          <w:bCs/>
          <w:color w:val="000000" w:themeColor="text1"/>
          <w:kern w:val="0"/>
          <w:sz w:val="28"/>
          <w:szCs w:val="28"/>
          <w14:textFill>
            <w14:solidFill>
              <w14:schemeClr w14:val="tx1"/>
            </w14:solidFill>
          </w14:textFill>
        </w:rPr>
        <w:instrText xml:space="preserve"> HYPERLINK \l _Toc3970 </w:instrText>
      </w:r>
      <w:r>
        <w:rPr>
          <w:rFonts w:hint="eastAsia" w:ascii="仿宋" w:hAnsi="仿宋" w:eastAsia="仿宋" w:cs="仿宋"/>
          <w:b/>
          <w:bCs/>
          <w:color w:val="000000" w:themeColor="text1"/>
          <w:kern w:val="0"/>
          <w:sz w:val="28"/>
          <w:szCs w:val="28"/>
          <w14:textFill>
            <w14:solidFill>
              <w14:schemeClr w14:val="tx1"/>
            </w14:solidFill>
          </w14:textFill>
        </w:rPr>
        <w:fldChar w:fldCharType="separate"/>
      </w:r>
      <w:r>
        <w:rPr>
          <w:rFonts w:hint="eastAsia" w:ascii="仿宋" w:hAnsi="仿宋" w:eastAsia="仿宋" w:cs="仿宋"/>
          <w:b/>
          <w:bCs/>
          <w:color w:val="000000" w:themeColor="text1"/>
          <w:kern w:val="0"/>
          <w:sz w:val="28"/>
          <w:szCs w:val="28"/>
          <w14:textFill>
            <w14:solidFill>
              <w14:schemeClr w14:val="tx1"/>
            </w14:solidFill>
          </w14:textFill>
        </w:rPr>
        <w:t>第六部分</w:t>
      </w:r>
      <w:r>
        <w:rPr>
          <w:rFonts w:hint="eastAsia" w:ascii="仿宋" w:hAnsi="仿宋" w:eastAsia="仿宋" w:cs="仿宋"/>
          <w:b/>
          <w:bCs/>
          <w:color w:val="000000" w:themeColor="text1"/>
          <w:kern w:val="0"/>
          <w:sz w:val="28"/>
          <w:szCs w:val="28"/>
          <w:lang w:val="en-US" w:eastAsia="zh-CN"/>
          <w14:textFill>
            <w14:solidFill>
              <w14:schemeClr w14:val="tx1"/>
            </w14:solidFill>
          </w14:textFill>
        </w:rPr>
        <w:t xml:space="preserve"> </w:t>
      </w:r>
      <w:r>
        <w:rPr>
          <w:rFonts w:hint="eastAsia" w:ascii="仿宋" w:hAnsi="仿宋" w:eastAsia="仿宋" w:cs="仿宋"/>
          <w:b/>
          <w:bCs/>
          <w:color w:val="000000" w:themeColor="text1"/>
          <w:kern w:val="0"/>
          <w:sz w:val="28"/>
          <w:szCs w:val="28"/>
          <w14:textFill>
            <w14:solidFill>
              <w14:schemeClr w14:val="tx1"/>
            </w14:solidFill>
          </w14:textFill>
        </w:rPr>
        <w:t xml:space="preserve"> 发展趋势与展望</w:t>
      </w:r>
      <w:r>
        <w:rPr>
          <w:rFonts w:hint="eastAsia" w:ascii="仿宋" w:hAnsi="仿宋" w:eastAsia="仿宋" w:cs="仿宋"/>
          <w:b/>
          <w:bCs/>
          <w:color w:val="000000" w:themeColor="text1"/>
          <w:sz w:val="28"/>
          <w:szCs w:val="28"/>
          <w14:textFill>
            <w14:solidFill>
              <w14:schemeClr w14:val="tx1"/>
            </w14:solidFill>
          </w14:textFill>
        </w:rPr>
        <w:tab/>
      </w:r>
      <w:r>
        <w:rPr>
          <w:rFonts w:hint="eastAsia" w:ascii="仿宋" w:hAnsi="仿宋" w:eastAsia="仿宋" w:cs="仿宋"/>
          <w:b/>
          <w:bCs/>
          <w:color w:val="000000" w:themeColor="text1"/>
          <w:sz w:val="28"/>
          <w:szCs w:val="28"/>
          <w14:textFill>
            <w14:solidFill>
              <w14:schemeClr w14:val="tx1"/>
            </w14:solidFill>
          </w14:textFill>
        </w:rPr>
        <w:fldChar w:fldCharType="begin"/>
      </w:r>
      <w:r>
        <w:rPr>
          <w:rFonts w:hint="eastAsia" w:ascii="仿宋" w:hAnsi="仿宋" w:eastAsia="仿宋" w:cs="仿宋"/>
          <w:b/>
          <w:bCs/>
          <w:color w:val="000000" w:themeColor="text1"/>
          <w:sz w:val="28"/>
          <w:szCs w:val="28"/>
          <w14:textFill>
            <w14:solidFill>
              <w14:schemeClr w14:val="tx1"/>
            </w14:solidFill>
          </w14:textFill>
        </w:rPr>
        <w:instrText xml:space="preserve"> PAGEREF _Toc3970 </w:instrText>
      </w:r>
      <w:r>
        <w:rPr>
          <w:rFonts w:hint="eastAsia" w:ascii="仿宋" w:hAnsi="仿宋" w:eastAsia="仿宋" w:cs="仿宋"/>
          <w:b/>
          <w:bCs/>
          <w:color w:val="000000" w:themeColor="text1"/>
          <w:sz w:val="28"/>
          <w:szCs w:val="28"/>
          <w14:textFill>
            <w14:solidFill>
              <w14:schemeClr w14:val="tx1"/>
            </w14:solidFill>
          </w14:textFill>
        </w:rPr>
        <w:fldChar w:fldCharType="separate"/>
      </w:r>
      <w:r>
        <w:rPr>
          <w:rFonts w:hint="eastAsia" w:ascii="仿宋" w:hAnsi="仿宋" w:eastAsia="仿宋" w:cs="仿宋"/>
          <w:b/>
          <w:bCs/>
          <w:color w:val="000000" w:themeColor="text1"/>
          <w:sz w:val="28"/>
          <w:szCs w:val="28"/>
          <w14:textFill>
            <w14:solidFill>
              <w14:schemeClr w14:val="tx1"/>
            </w14:solidFill>
          </w14:textFill>
        </w:rPr>
        <w:t>34</w:t>
      </w:r>
      <w:r>
        <w:rPr>
          <w:rFonts w:hint="eastAsia" w:ascii="仿宋" w:hAnsi="仿宋" w:eastAsia="仿宋" w:cs="仿宋"/>
          <w:b/>
          <w:bCs/>
          <w:color w:val="000000" w:themeColor="text1"/>
          <w:sz w:val="28"/>
          <w:szCs w:val="28"/>
          <w14:textFill>
            <w14:solidFill>
              <w14:schemeClr w14:val="tx1"/>
            </w14:solidFill>
          </w14:textFill>
        </w:rPr>
        <w:fldChar w:fldCharType="end"/>
      </w:r>
      <w:r>
        <w:rPr>
          <w:rFonts w:hint="eastAsia" w:ascii="仿宋" w:hAnsi="仿宋" w:eastAsia="仿宋" w:cs="仿宋"/>
          <w:b/>
          <w:bCs/>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_Toc21147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bCs/>
          <w:color w:val="000000" w:themeColor="text1"/>
          <w:kern w:val="2"/>
          <w:sz w:val="28"/>
          <w:szCs w:val="28"/>
          <w:lang w:val="en-US" w:eastAsia="zh-CN" w:bidi="ar-SA"/>
          <w14:textFill>
            <w14:solidFill>
              <w14:schemeClr w14:val="tx1"/>
            </w14:solidFill>
          </w14:textFill>
        </w:rPr>
        <w:t>6.1 签约单位性质、行业分布逐步多元化</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_Toc21147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34</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_Toc3077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bCs/>
          <w:color w:val="000000" w:themeColor="text1"/>
          <w:kern w:val="2"/>
          <w:sz w:val="28"/>
          <w:szCs w:val="28"/>
          <w:lang w:val="en-US" w:eastAsia="zh-CN" w:bidi="ar-SA"/>
          <w14:textFill>
            <w14:solidFill>
              <w14:schemeClr w14:val="tx1"/>
            </w14:solidFill>
          </w14:textFill>
        </w:rPr>
        <w:t>6.2 就业地域日趋广泛</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_Toc3077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34</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_Toc24860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bCs/>
          <w:color w:val="000000" w:themeColor="text1"/>
          <w:kern w:val="2"/>
          <w:sz w:val="28"/>
          <w:szCs w:val="28"/>
          <w:lang w:val="en-US" w:eastAsia="zh-CN" w:bidi="ar-SA"/>
          <w14:textFill>
            <w14:solidFill>
              <w14:schemeClr w14:val="tx1"/>
            </w14:solidFill>
          </w14:textFill>
        </w:rPr>
        <w:t>6.3 升学、出国继续深造率稳步提升</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_Toc24860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35</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pStyle w:val="15"/>
        <w:keepNext w:val="0"/>
        <w:keepLines w:val="0"/>
        <w:pageBreakBefore w:val="0"/>
        <w:widowControl w:val="0"/>
        <w:tabs>
          <w:tab w:val="right" w:leader="dot" w:pos="8306"/>
        </w:tabs>
        <w:kinsoku/>
        <w:wordWrap/>
        <w:overflowPunct/>
        <w:topLinePunct w:val="0"/>
        <w:bidi w:val="0"/>
        <w:snapToGrid/>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begin"/>
      </w:r>
      <w:r>
        <w:rPr>
          <w:rFonts w:hint="eastAsia" w:ascii="仿宋" w:hAnsi="仿宋" w:eastAsia="仿宋" w:cs="仿宋"/>
          <w:color w:val="000000" w:themeColor="text1"/>
          <w:kern w:val="0"/>
          <w:sz w:val="28"/>
          <w:szCs w:val="28"/>
          <w14:textFill>
            <w14:solidFill>
              <w14:schemeClr w14:val="tx1"/>
            </w14:solidFill>
          </w14:textFill>
        </w:rPr>
        <w:instrText xml:space="preserve"> HYPERLINK \l _Toc391 </w:instrText>
      </w:r>
      <w:r>
        <w:rPr>
          <w:rFonts w:hint="eastAsia" w:ascii="仿宋" w:hAnsi="仿宋" w:eastAsia="仿宋" w:cs="仿宋"/>
          <w:color w:val="000000" w:themeColor="text1"/>
          <w:kern w:val="0"/>
          <w:sz w:val="28"/>
          <w:szCs w:val="28"/>
          <w14:textFill>
            <w14:solidFill>
              <w14:schemeClr w14:val="tx1"/>
            </w14:solidFill>
          </w14:textFill>
        </w:rPr>
        <w:fldChar w:fldCharType="separate"/>
      </w:r>
      <w:r>
        <w:rPr>
          <w:rFonts w:hint="eastAsia" w:ascii="仿宋" w:hAnsi="仿宋" w:eastAsia="仿宋" w:cs="仿宋"/>
          <w:bCs/>
          <w:color w:val="000000" w:themeColor="text1"/>
          <w:kern w:val="2"/>
          <w:sz w:val="28"/>
          <w:szCs w:val="28"/>
          <w:lang w:val="en-US" w:eastAsia="zh-CN" w:bidi="ar-SA"/>
          <w14:textFill>
            <w14:solidFill>
              <w14:schemeClr w14:val="tx1"/>
            </w14:solidFill>
          </w14:textFill>
        </w:rPr>
        <w:t>6.4 创新创业平台引领作用成效显著</w:t>
      </w:r>
      <w:r>
        <w:rPr>
          <w:rFonts w:hint="eastAsia" w:ascii="仿宋" w:hAnsi="仿宋" w:eastAsia="仿宋" w:cs="仿宋"/>
          <w:color w:val="000000" w:themeColor="text1"/>
          <w:sz w:val="28"/>
          <w:szCs w:val="28"/>
          <w14:textFill>
            <w14:solidFill>
              <w14:schemeClr w14:val="tx1"/>
            </w14:solidFill>
          </w14:textFill>
        </w:rPr>
        <w:tab/>
      </w:r>
      <w:r>
        <w:rPr>
          <w:rFonts w:hint="eastAsia" w:ascii="仿宋" w:hAnsi="仿宋" w:eastAsia="仿宋" w:cs="仿宋"/>
          <w:color w:val="000000" w:themeColor="text1"/>
          <w:sz w:val="28"/>
          <w:szCs w:val="28"/>
          <w14:textFill>
            <w14:solidFill>
              <w14:schemeClr w14:val="tx1"/>
            </w14:solidFill>
          </w14:textFill>
        </w:rPr>
        <w:fldChar w:fldCharType="begin"/>
      </w:r>
      <w:r>
        <w:rPr>
          <w:rFonts w:hint="eastAsia" w:ascii="仿宋" w:hAnsi="仿宋" w:eastAsia="仿宋" w:cs="仿宋"/>
          <w:color w:val="000000" w:themeColor="text1"/>
          <w:sz w:val="28"/>
          <w:szCs w:val="28"/>
          <w14:textFill>
            <w14:solidFill>
              <w14:schemeClr w14:val="tx1"/>
            </w14:solidFill>
          </w14:textFill>
        </w:rPr>
        <w:instrText xml:space="preserve"> PAGEREF _Toc391 </w:instrText>
      </w:r>
      <w:r>
        <w:rPr>
          <w:rFonts w:hint="eastAsia" w:ascii="仿宋" w:hAnsi="仿宋" w:eastAsia="仿宋" w:cs="仿宋"/>
          <w:color w:val="000000" w:themeColor="text1"/>
          <w:sz w:val="28"/>
          <w:szCs w:val="28"/>
          <w14:textFill>
            <w14:solidFill>
              <w14:schemeClr w14:val="tx1"/>
            </w14:solidFill>
          </w14:textFill>
        </w:rPr>
        <w:fldChar w:fldCharType="separate"/>
      </w:r>
      <w:r>
        <w:rPr>
          <w:rFonts w:hint="eastAsia" w:ascii="仿宋" w:hAnsi="仿宋" w:eastAsia="仿宋" w:cs="仿宋"/>
          <w:color w:val="000000" w:themeColor="text1"/>
          <w:sz w:val="28"/>
          <w:szCs w:val="28"/>
          <w14:textFill>
            <w14:solidFill>
              <w14:schemeClr w14:val="tx1"/>
            </w14:solidFill>
          </w14:textFill>
        </w:rPr>
        <w:t>36</w:t>
      </w:r>
      <w:r>
        <w:rPr>
          <w:rFonts w:hint="eastAsia" w:ascii="仿宋" w:hAnsi="仿宋" w:eastAsia="仿宋" w:cs="仿宋"/>
          <w:color w:val="000000" w:themeColor="text1"/>
          <w:sz w:val="28"/>
          <w:szCs w:val="28"/>
          <w14:textFill>
            <w14:solidFill>
              <w14:schemeClr w14:val="tx1"/>
            </w14:solidFill>
          </w14:textFill>
        </w:rPr>
        <w:fldChar w:fldCharType="end"/>
      </w:r>
      <w:r>
        <w:rPr>
          <w:rFonts w:hint="eastAsia" w:ascii="仿宋" w:hAnsi="仿宋" w:eastAsia="仿宋" w:cs="仿宋"/>
          <w:color w:val="000000" w:themeColor="text1"/>
          <w:kern w:val="0"/>
          <w:sz w:val="28"/>
          <w:szCs w:val="28"/>
          <w14:textFill>
            <w14:solidFill>
              <w14:schemeClr w14:val="tx1"/>
            </w14:solidFill>
          </w14:textFill>
        </w:rPr>
        <w:fldChar w:fldCharType="end"/>
      </w:r>
    </w:p>
    <w:p>
      <w:pPr>
        <w:keepNext w:val="0"/>
        <w:keepLines w:val="0"/>
        <w:pageBreakBefore w:val="0"/>
        <w:widowControl w:val="0"/>
        <w:kinsoku/>
        <w:wordWrap/>
        <w:overflowPunct/>
        <w:topLinePunct w:val="0"/>
        <w:autoSpaceDE w:val="0"/>
        <w:autoSpaceDN w:val="0"/>
        <w:bidi w:val="0"/>
        <w:adjustRightInd w:val="0"/>
        <w:snapToGrid/>
        <w:jc w:val="center"/>
        <w:textAlignment w:val="auto"/>
        <w:outlineLvl w:val="2"/>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fldChar w:fldCharType="end"/>
      </w:r>
    </w:p>
    <w:p>
      <w:pPr>
        <w:keepNext w:val="0"/>
        <w:keepLines w:val="0"/>
        <w:pageBreakBefore w:val="0"/>
        <w:widowControl w:val="0"/>
        <w:kinsoku/>
        <w:wordWrap/>
        <w:overflowPunct/>
        <w:topLinePunct w:val="0"/>
        <w:autoSpaceDE w:val="0"/>
        <w:autoSpaceDN w:val="0"/>
        <w:bidi w:val="0"/>
        <w:adjustRightInd w:val="0"/>
        <w:snapToGrid/>
        <w:jc w:val="center"/>
        <w:textAlignment w:val="auto"/>
        <w:outlineLvl w:val="2"/>
        <w:rPr>
          <w:rFonts w:hint="eastAsia" w:ascii="仿宋" w:hAnsi="仿宋" w:eastAsia="仿宋" w:cs="仿宋"/>
          <w:b/>
          <w:color w:val="000000" w:themeColor="text1"/>
          <w:sz w:val="28"/>
          <w:szCs w:val="28"/>
          <w14:textFill>
            <w14:solidFill>
              <w14:schemeClr w14:val="tx1"/>
            </w14:solidFill>
          </w14:textFill>
        </w:rPr>
        <w:sectPr>
          <w:headerReference r:id="rId3" w:type="default"/>
          <w:footerReference r:id="rId4" w:type="default"/>
          <w:pgSz w:w="11906" w:h="16838"/>
          <w:pgMar w:top="1701" w:right="1800" w:bottom="1440" w:left="1800" w:header="851" w:footer="992" w:gutter="0"/>
          <w:pgNumType w:fmt="decimal"/>
          <w:cols w:space="720" w:num="1"/>
          <w:docGrid w:type="lines" w:linePitch="312" w:charSpace="0"/>
        </w:sectPr>
      </w:pPr>
    </w:p>
    <w:p>
      <w:pPr>
        <w:autoSpaceDE w:val="0"/>
        <w:autoSpaceDN w:val="0"/>
        <w:adjustRightInd w:val="0"/>
        <w:jc w:val="center"/>
        <w:outlineLvl w:val="2"/>
        <w:rPr>
          <w:rFonts w:hint="eastAsia" w:ascii="仿宋" w:hAnsi="仿宋" w:eastAsia="仿宋" w:cs="仿宋"/>
          <w:b/>
          <w:color w:val="1F497D"/>
          <w:sz w:val="36"/>
          <w:szCs w:val="36"/>
        </w:rPr>
      </w:pPr>
      <w:bookmarkStart w:id="2" w:name="_Toc30606"/>
      <w:bookmarkStart w:id="3" w:name="_Toc23554"/>
      <w:bookmarkStart w:id="4" w:name="_Toc9129"/>
      <w:r>
        <w:rPr>
          <w:rFonts w:hint="eastAsia" w:ascii="仿宋" w:hAnsi="仿宋" w:eastAsia="仿宋" w:cs="仿宋"/>
          <w:b/>
          <w:color w:val="1F497D"/>
          <w:sz w:val="36"/>
          <w:szCs w:val="36"/>
        </w:rPr>
        <w:t>湖南财政经济学院20</w:t>
      </w:r>
      <w:r>
        <w:rPr>
          <w:rFonts w:hint="eastAsia" w:ascii="仿宋" w:hAnsi="仿宋" w:eastAsia="仿宋" w:cs="仿宋"/>
          <w:b/>
          <w:color w:val="1F497D"/>
          <w:sz w:val="36"/>
          <w:szCs w:val="36"/>
          <w:lang w:val="en-US" w:eastAsia="zh-CN"/>
        </w:rPr>
        <w:t>20</w:t>
      </w:r>
      <w:r>
        <w:rPr>
          <w:rFonts w:hint="eastAsia" w:ascii="仿宋" w:hAnsi="仿宋" w:eastAsia="仿宋" w:cs="仿宋"/>
          <w:b/>
          <w:color w:val="1F497D"/>
          <w:sz w:val="36"/>
          <w:szCs w:val="36"/>
        </w:rPr>
        <w:t>年毕业生就业质量报告</w:t>
      </w:r>
      <w:bookmarkEnd w:id="2"/>
      <w:bookmarkEnd w:id="3"/>
      <w:bookmarkEnd w:id="4"/>
    </w:p>
    <w:p>
      <w:pPr>
        <w:pStyle w:val="3"/>
        <w:keepNext/>
        <w:keepLines/>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0"/>
        <w:rPr>
          <w:rFonts w:hint="eastAsia" w:ascii="仿宋" w:hAnsi="仿宋" w:eastAsia="仿宋" w:cs="仿宋"/>
          <w:b w:val="0"/>
          <w:color w:val="1F497D"/>
          <w:kern w:val="0"/>
          <w:sz w:val="32"/>
          <w:szCs w:val="32"/>
        </w:rPr>
      </w:pPr>
      <w:bookmarkStart w:id="5" w:name="_Toc437501599"/>
      <w:bookmarkStart w:id="6" w:name="_Toc3725"/>
      <w:bookmarkStart w:id="7" w:name="_Toc405988241"/>
      <w:bookmarkStart w:id="8" w:name="_Toc437032024"/>
      <w:bookmarkStart w:id="9" w:name="_Toc899"/>
      <w:r>
        <w:rPr>
          <w:rFonts w:hint="eastAsia" w:ascii="仿宋" w:hAnsi="仿宋" w:eastAsia="仿宋" w:cs="仿宋"/>
          <w:color w:val="1F497D"/>
          <w:kern w:val="0"/>
          <w:sz w:val="32"/>
          <w:szCs w:val="32"/>
        </w:rPr>
        <w:t>前  言</w:t>
      </w:r>
      <w:bookmarkEnd w:id="5"/>
      <w:bookmarkEnd w:id="6"/>
      <w:bookmarkEnd w:id="7"/>
      <w:bookmarkEnd w:id="8"/>
      <w:bookmarkEnd w:id="9"/>
    </w:p>
    <w:p>
      <w:pPr>
        <w:pStyle w:val="17"/>
        <w:keepNext w:val="0"/>
        <w:keepLines w:val="0"/>
        <w:pageBreakBefore w:val="0"/>
        <w:widowControl/>
        <w:kinsoku/>
        <w:wordWrap/>
        <w:overflowPunct/>
        <w:topLinePunct w:val="0"/>
        <w:autoSpaceDE/>
        <w:autoSpaceDN/>
        <w:bidi w:val="0"/>
        <w:adjustRightInd/>
        <w:snapToGrid/>
        <w:spacing w:before="0" w:beforeAutospacing="0" w:after="0" w:afterAutospacing="0"/>
        <w:ind w:firstLine="560" w:firstLineChars="20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湖南财政经济学院地处长沙市岳麓山风景区，是一所由湖南省人民政府主办、省教育厅主管、省财政厅协管的全日制财经类本科院校。学校是湖南省“双一流”建设项目应用特色学科高校，是“大数据国家标准优秀试点单位”、教育部“教育电子政务试点工程单位”（全国四所试点高校之一）、“湖南省文明高等学校”“湖南省普通高校招生工作先进单位”“湖南省高校思想政治教育研究先进单位”和“湖南省综治工作先进单位”。</w:t>
      </w:r>
    </w:p>
    <w:p>
      <w:pPr>
        <w:pStyle w:val="17"/>
        <w:keepNext w:val="0"/>
        <w:keepLines w:val="0"/>
        <w:pageBreakBefore w:val="0"/>
        <w:widowControl/>
        <w:kinsoku/>
        <w:wordWrap/>
        <w:overflowPunct/>
        <w:topLinePunct w:val="0"/>
        <w:autoSpaceDE/>
        <w:autoSpaceDN/>
        <w:bidi w:val="0"/>
        <w:adjustRightInd/>
        <w:snapToGrid/>
        <w:spacing w:before="0" w:beforeAutospacing="0" w:after="0" w:afterAutospacing="0"/>
        <w:ind w:firstLine="560" w:firstLineChars="200"/>
        <w:jc w:val="both"/>
        <w:textAlignment w:val="auto"/>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学校现有14个二级院所，以管理学、经济学为主，涵盖8个学科门类，开设有38个本科专业，其中，应用经济学、计算机科学与技术、工商管理、公共管理4个学科入选湖南省高等学校“双一流”建设项目的应用特色学科；国际经济与贸易、财务管理2个专业入选国家一流本科专业建设点；财政学、金融学、计算机科学与技术、人力资源管理、土地资源管理5个专业入选省级一流本科专业建设点。学校建有1个省级2011协同创新中心、3个省级重点实验室、7个省级研究基地、2个厅级研究基地和20个校级研究机构，引入了湖南经济地理研究所学科团队和平台</w:t>
      </w:r>
      <w:r>
        <w:rPr>
          <w:rFonts w:hint="eastAsia" w:ascii="仿宋" w:hAnsi="仿宋" w:eastAsia="仿宋" w:cs="仿宋"/>
          <w:color w:val="000000" w:themeColor="text1"/>
          <w:kern w:val="0"/>
          <w:sz w:val="28"/>
          <w:szCs w:val="28"/>
          <w:lang w:eastAsia="zh-CN"/>
          <w14:textFill>
            <w14:solidFill>
              <w14:schemeClr w14:val="tx1"/>
            </w14:solidFill>
          </w14:textFill>
        </w:rPr>
        <w:t>。</w:t>
      </w:r>
    </w:p>
    <w:p>
      <w:pPr>
        <w:pStyle w:val="17"/>
        <w:keepNext w:val="0"/>
        <w:keepLines w:val="0"/>
        <w:pageBreakBefore w:val="0"/>
        <w:kinsoku/>
        <w:wordWrap/>
        <w:overflowPunct/>
        <w:topLinePunct w:val="0"/>
        <w:autoSpaceDE/>
        <w:autoSpaceDN/>
        <w:bidi w:val="0"/>
        <w:adjustRightInd/>
        <w:snapToGrid/>
        <w:spacing w:before="0" w:beforeAutospacing="0" w:after="0" w:afterAutospacing="0"/>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学校一直重视毕业生就业创业工作，认真贯彻落实教育部、湖南省关于大学生就业创新创业工作的精神和要求，以学生的全面发展为目标，加强就业指导，拓展就业市场，加大实习实训和创新创业教育，优化服务质量，努力促进毕业生在适合自身发展的路径上充分、高质量就业。</w:t>
      </w:r>
    </w:p>
    <w:p>
      <w:pPr>
        <w:keepNext w:val="0"/>
        <w:keepLines w:val="0"/>
        <w:pageBreakBefore w:val="0"/>
        <w:kinsoku/>
        <w:wordWrap/>
        <w:overflowPunct/>
        <w:topLinePunct w:val="0"/>
        <w:autoSpaceDE/>
        <w:autoSpaceDN/>
        <w:bidi w:val="0"/>
        <w:adjustRightInd/>
        <w:snapToGrid/>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根据教育部</w:t>
      </w:r>
      <w:r>
        <w:rPr>
          <w:rFonts w:hint="eastAsia" w:ascii="仿宋" w:hAnsi="仿宋" w:eastAsia="仿宋" w:cs="仿宋"/>
          <w:color w:val="000000" w:themeColor="text1"/>
          <w:sz w:val="28"/>
          <w:szCs w:val="28"/>
          <w:lang w:eastAsia="zh-CN"/>
          <w14:textFill>
            <w14:solidFill>
              <w14:schemeClr w14:val="tx1"/>
            </w14:solidFill>
          </w14:textFill>
        </w:rPr>
        <w:t>和省教育厅</w:t>
      </w:r>
      <w:r>
        <w:rPr>
          <w:rFonts w:hint="eastAsia" w:ascii="仿宋" w:hAnsi="仿宋" w:eastAsia="仿宋" w:cs="仿宋"/>
          <w:color w:val="000000" w:themeColor="text1"/>
          <w:sz w:val="28"/>
          <w:szCs w:val="28"/>
          <w14:textFill>
            <w14:solidFill>
              <w14:schemeClr w14:val="tx1"/>
            </w14:solidFill>
          </w14:textFill>
        </w:rPr>
        <w:t>要求，编写了《湖南财政经济学院20</w:t>
      </w:r>
      <w:r>
        <w:rPr>
          <w:rFonts w:hint="eastAsia" w:ascii="仿宋" w:hAnsi="仿宋" w:eastAsia="仿宋" w:cs="仿宋"/>
          <w:color w:val="000000" w:themeColor="text1"/>
          <w:sz w:val="28"/>
          <w:szCs w:val="28"/>
          <w:lang w:val="en-US" w:eastAsia="zh-CN"/>
          <w14:textFill>
            <w14:solidFill>
              <w14:schemeClr w14:val="tx1"/>
            </w14:solidFill>
          </w14:textFill>
        </w:rPr>
        <w:t>20</w:t>
      </w:r>
      <w:r>
        <w:rPr>
          <w:rFonts w:hint="eastAsia" w:ascii="仿宋" w:hAnsi="仿宋" w:eastAsia="仿宋" w:cs="仿宋"/>
          <w:color w:val="000000" w:themeColor="text1"/>
          <w:sz w:val="28"/>
          <w:szCs w:val="28"/>
          <w:lang w:eastAsia="zh-CN"/>
          <w14:textFill>
            <w14:solidFill>
              <w14:schemeClr w14:val="tx1"/>
            </w14:solidFill>
          </w14:textFill>
        </w:rPr>
        <w:t>年</w:t>
      </w:r>
      <w:r>
        <w:rPr>
          <w:rFonts w:hint="eastAsia" w:ascii="仿宋" w:hAnsi="仿宋" w:eastAsia="仿宋" w:cs="仿宋"/>
          <w:color w:val="000000" w:themeColor="text1"/>
          <w:sz w:val="28"/>
          <w:szCs w:val="28"/>
          <w14:textFill>
            <w14:solidFill>
              <w14:schemeClr w14:val="tx1"/>
            </w14:solidFill>
          </w14:textFill>
        </w:rPr>
        <w:t>毕业生就业质量报告》。本报告分为六个部分，分别对毕业生基本情况、毕业生就业状况、就业相关分析、就业对教育教学的反馈、就业创业工作的主要措施及特点、发展趋势与展望等进行了统计和分析。本报告数据统计截止时间为20</w:t>
      </w:r>
      <w:r>
        <w:rPr>
          <w:rFonts w:hint="eastAsia" w:ascii="仿宋" w:hAnsi="仿宋" w:eastAsia="仿宋" w:cs="仿宋"/>
          <w:color w:val="000000" w:themeColor="text1"/>
          <w:sz w:val="28"/>
          <w:szCs w:val="28"/>
          <w:lang w:val="en-US" w:eastAsia="zh-CN"/>
          <w14:textFill>
            <w14:solidFill>
              <w14:schemeClr w14:val="tx1"/>
            </w14:solidFill>
          </w14:textFill>
        </w:rPr>
        <w:t>20</w:t>
      </w:r>
      <w:r>
        <w:rPr>
          <w:rFonts w:hint="eastAsia" w:ascii="仿宋" w:hAnsi="仿宋" w:eastAsia="仿宋" w:cs="仿宋"/>
          <w:color w:val="000000" w:themeColor="text1"/>
          <w:sz w:val="28"/>
          <w:szCs w:val="28"/>
          <w14:textFill>
            <w14:solidFill>
              <w14:schemeClr w14:val="tx1"/>
            </w14:solidFill>
          </w14:textFill>
        </w:rPr>
        <w:t>年8月31日，除单独注明出处的数据之外，其余未做标注的数据均源于湖南财政经济学院就业信息管理系统。</w:t>
      </w:r>
    </w:p>
    <w:p>
      <w:pPr>
        <w:widowControl/>
        <w:jc w:val="center"/>
        <w:outlineLvl w:val="0"/>
        <w:rPr>
          <w:rFonts w:hint="eastAsia" w:ascii="仿宋" w:hAnsi="仿宋" w:eastAsia="仿宋" w:cs="仿宋"/>
          <w:b/>
          <w:color w:val="000000" w:themeColor="text1"/>
          <w:kern w:val="0"/>
          <w:sz w:val="28"/>
          <w:szCs w:val="28"/>
          <w14:textFill>
            <w14:solidFill>
              <w14:schemeClr w14:val="tx1"/>
            </w14:solidFill>
          </w14:textFill>
        </w:rPr>
      </w:pPr>
      <w:bookmarkStart w:id="10" w:name="_Toc14912"/>
    </w:p>
    <w:p>
      <w:pPr>
        <w:widowControl/>
        <w:jc w:val="center"/>
        <w:outlineLvl w:val="0"/>
        <w:rPr>
          <w:rFonts w:hint="eastAsia" w:ascii="仿宋" w:hAnsi="仿宋" w:eastAsia="仿宋" w:cs="仿宋"/>
          <w:b/>
          <w:color w:val="000000"/>
          <w:kern w:val="0"/>
          <w:sz w:val="28"/>
          <w:szCs w:val="28"/>
        </w:rPr>
      </w:pPr>
    </w:p>
    <w:p>
      <w:pPr>
        <w:widowControl/>
        <w:jc w:val="center"/>
        <w:outlineLvl w:val="0"/>
        <w:rPr>
          <w:rFonts w:hint="eastAsia" w:ascii="仿宋" w:hAnsi="仿宋" w:eastAsia="仿宋" w:cs="仿宋"/>
          <w:b/>
          <w:color w:val="000000"/>
          <w:kern w:val="0"/>
          <w:sz w:val="28"/>
          <w:szCs w:val="28"/>
        </w:rPr>
      </w:pPr>
    </w:p>
    <w:p>
      <w:pPr>
        <w:widowControl/>
        <w:jc w:val="center"/>
        <w:outlineLvl w:val="0"/>
        <w:rPr>
          <w:rFonts w:hint="eastAsia" w:ascii="仿宋" w:hAnsi="仿宋" w:eastAsia="仿宋" w:cs="仿宋"/>
          <w:b/>
          <w:color w:val="000000"/>
          <w:kern w:val="0"/>
          <w:sz w:val="28"/>
          <w:szCs w:val="28"/>
        </w:rPr>
      </w:pPr>
    </w:p>
    <w:p>
      <w:pPr>
        <w:pStyle w:val="2"/>
        <w:rPr>
          <w:rFonts w:hint="eastAsia" w:ascii="仿宋" w:hAnsi="仿宋" w:eastAsia="仿宋" w:cs="仿宋"/>
        </w:rPr>
      </w:pPr>
    </w:p>
    <w:p>
      <w:pPr>
        <w:widowControl/>
        <w:jc w:val="center"/>
        <w:outlineLvl w:val="0"/>
        <w:rPr>
          <w:rFonts w:hint="eastAsia" w:ascii="仿宋" w:hAnsi="仿宋" w:eastAsia="仿宋" w:cs="仿宋"/>
          <w:b/>
          <w:color w:val="0070C0"/>
          <w:kern w:val="0"/>
          <w:sz w:val="32"/>
          <w:szCs w:val="32"/>
        </w:rPr>
      </w:pPr>
    </w:p>
    <w:p>
      <w:pPr>
        <w:widowControl/>
        <w:jc w:val="center"/>
        <w:outlineLvl w:val="0"/>
        <w:rPr>
          <w:rFonts w:hint="eastAsia" w:ascii="仿宋" w:hAnsi="仿宋" w:eastAsia="仿宋" w:cs="仿宋"/>
          <w:b/>
          <w:color w:val="0070C0"/>
          <w:kern w:val="0"/>
          <w:sz w:val="32"/>
          <w:szCs w:val="32"/>
        </w:rPr>
      </w:pPr>
    </w:p>
    <w:p>
      <w:pPr>
        <w:widowControl/>
        <w:jc w:val="center"/>
        <w:outlineLvl w:val="0"/>
        <w:rPr>
          <w:rFonts w:hint="eastAsia" w:ascii="仿宋" w:hAnsi="仿宋" w:eastAsia="仿宋" w:cs="仿宋"/>
          <w:b/>
          <w:color w:val="0070C0"/>
          <w:kern w:val="0"/>
          <w:sz w:val="32"/>
          <w:szCs w:val="32"/>
        </w:rPr>
      </w:pPr>
    </w:p>
    <w:p>
      <w:pPr>
        <w:widowControl/>
        <w:jc w:val="center"/>
        <w:outlineLvl w:val="0"/>
        <w:rPr>
          <w:rFonts w:hint="eastAsia" w:ascii="仿宋" w:hAnsi="仿宋" w:eastAsia="仿宋" w:cs="仿宋"/>
          <w:b/>
          <w:color w:val="0070C0"/>
          <w:kern w:val="0"/>
          <w:sz w:val="32"/>
          <w:szCs w:val="32"/>
        </w:rPr>
      </w:pPr>
    </w:p>
    <w:p>
      <w:pPr>
        <w:widowControl/>
        <w:jc w:val="center"/>
        <w:outlineLvl w:val="0"/>
        <w:rPr>
          <w:rFonts w:hint="eastAsia" w:ascii="仿宋" w:hAnsi="仿宋" w:eastAsia="仿宋" w:cs="仿宋"/>
          <w:b/>
          <w:color w:val="0070C0"/>
          <w:kern w:val="0"/>
          <w:sz w:val="32"/>
          <w:szCs w:val="32"/>
        </w:rPr>
      </w:pPr>
    </w:p>
    <w:p>
      <w:pPr>
        <w:widowControl/>
        <w:jc w:val="center"/>
        <w:outlineLvl w:val="0"/>
        <w:rPr>
          <w:rFonts w:hint="eastAsia" w:ascii="仿宋" w:hAnsi="仿宋" w:eastAsia="仿宋" w:cs="仿宋"/>
          <w:b/>
          <w:color w:val="0070C0"/>
          <w:kern w:val="0"/>
          <w:sz w:val="32"/>
          <w:szCs w:val="32"/>
        </w:rPr>
      </w:pPr>
    </w:p>
    <w:p>
      <w:pPr>
        <w:pStyle w:val="3"/>
        <w:spacing w:before="0" w:afterLines="100" w:line="240" w:lineRule="auto"/>
        <w:ind w:firstLine="1928" w:firstLineChars="600"/>
        <w:jc w:val="both"/>
        <w:rPr>
          <w:rFonts w:hint="eastAsia" w:ascii="仿宋" w:hAnsi="仿宋" w:eastAsia="仿宋" w:cs="仿宋"/>
          <w:color w:val="1F497D"/>
          <w:kern w:val="0"/>
          <w:sz w:val="32"/>
          <w:szCs w:val="32"/>
        </w:rPr>
        <w:sectPr>
          <w:footerReference r:id="rId5" w:type="default"/>
          <w:pgSz w:w="11906" w:h="16838"/>
          <w:pgMar w:top="1701" w:right="1800" w:bottom="1440" w:left="1800" w:header="851" w:footer="992" w:gutter="0"/>
          <w:pgNumType w:fmt="decimal" w:start="1"/>
          <w:cols w:space="720" w:num="1"/>
          <w:docGrid w:type="lines" w:linePitch="312" w:charSpace="0"/>
        </w:sectPr>
      </w:pPr>
    </w:p>
    <w:p>
      <w:pPr>
        <w:pStyle w:val="3"/>
        <w:keepNext/>
        <w:keepLines/>
        <w:pageBreakBefore w:val="0"/>
        <w:widowControl w:val="0"/>
        <w:kinsoku/>
        <w:wordWrap/>
        <w:overflowPunct/>
        <w:topLinePunct w:val="0"/>
        <w:autoSpaceDE/>
        <w:autoSpaceDN/>
        <w:bidi w:val="0"/>
        <w:adjustRightInd/>
        <w:snapToGrid/>
        <w:spacing w:before="0" w:afterLines="100" w:line="240" w:lineRule="auto"/>
        <w:ind w:firstLine="1928" w:firstLineChars="600"/>
        <w:jc w:val="both"/>
        <w:textAlignment w:val="auto"/>
        <w:rPr>
          <w:rFonts w:hint="eastAsia" w:ascii="仿宋" w:hAnsi="仿宋" w:eastAsia="仿宋" w:cs="仿宋"/>
          <w:b w:val="0"/>
          <w:color w:val="1F497D"/>
          <w:kern w:val="0"/>
          <w:sz w:val="32"/>
          <w:szCs w:val="32"/>
        </w:rPr>
      </w:pPr>
      <w:bookmarkStart w:id="11" w:name="_Toc3328"/>
      <w:r>
        <w:rPr>
          <w:rFonts w:hint="eastAsia" w:ascii="仿宋" w:hAnsi="仿宋" w:eastAsia="仿宋" w:cs="仿宋"/>
          <w:color w:val="1F497D"/>
          <w:kern w:val="0"/>
          <w:sz w:val="32"/>
          <w:szCs w:val="32"/>
        </w:rPr>
        <w:t>第一部分  毕业生基本情况</w:t>
      </w:r>
      <w:bookmarkEnd w:id="10"/>
      <w:bookmarkEnd w:id="11"/>
    </w:p>
    <w:p>
      <w:pPr>
        <w:pStyle w:val="46"/>
        <w:keepNext w:val="0"/>
        <w:keepLines w:val="0"/>
        <w:pageBreakBefore w:val="0"/>
        <w:widowControl w:val="0"/>
        <w:kinsoku/>
        <w:wordWrap/>
        <w:overflowPunct/>
        <w:topLinePunct w:val="0"/>
        <w:autoSpaceDE/>
        <w:autoSpaceDN/>
        <w:bidi w:val="0"/>
        <w:adjustRightInd/>
        <w:snapToGrid/>
        <w:spacing w:before="157" w:beforeLines="50" w:after="157" w:afterLines="50"/>
        <w:ind w:firstLine="0" w:firstLineChars="0"/>
        <w:textAlignment w:val="auto"/>
        <w:outlineLvl w:val="1"/>
        <w:rPr>
          <w:rFonts w:hint="eastAsia" w:ascii="仿宋" w:hAnsi="仿宋" w:eastAsia="仿宋" w:cs="仿宋"/>
          <w:b/>
          <w:color w:val="1F497D"/>
          <w:sz w:val="32"/>
          <w:szCs w:val="32"/>
        </w:rPr>
      </w:pPr>
      <w:bookmarkStart w:id="12" w:name="_Toc24121"/>
      <w:bookmarkStart w:id="13" w:name="_Toc20095"/>
      <w:r>
        <w:rPr>
          <w:rFonts w:hint="eastAsia" w:ascii="仿宋" w:hAnsi="仿宋" w:eastAsia="仿宋" w:cs="仿宋"/>
          <w:b/>
          <w:color w:val="1F497D"/>
          <w:sz w:val="32"/>
          <w:szCs w:val="32"/>
        </w:rPr>
        <w:t>1.1 毕业生总体规模和结构</w:t>
      </w:r>
      <w:bookmarkEnd w:id="12"/>
      <w:bookmarkEnd w:id="13"/>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20</w:t>
      </w:r>
      <w:r>
        <w:rPr>
          <w:rFonts w:hint="eastAsia" w:ascii="仿宋" w:hAnsi="仿宋" w:eastAsia="仿宋" w:cs="仿宋"/>
          <w:sz w:val="28"/>
          <w:szCs w:val="28"/>
          <w:lang w:val="en-US" w:eastAsia="zh-CN"/>
        </w:rPr>
        <w:t>20</w:t>
      </w:r>
      <w:r>
        <w:rPr>
          <w:rFonts w:hint="eastAsia" w:ascii="仿宋" w:hAnsi="仿宋" w:eastAsia="仿宋" w:cs="仿宋"/>
          <w:sz w:val="28"/>
          <w:szCs w:val="28"/>
        </w:rPr>
        <w:t>年，学校共有本科毕业生</w:t>
      </w:r>
      <w:r>
        <w:rPr>
          <w:rFonts w:hint="eastAsia" w:ascii="仿宋" w:hAnsi="仿宋" w:eastAsia="仿宋" w:cs="仿宋"/>
          <w:sz w:val="28"/>
          <w:szCs w:val="28"/>
          <w:lang w:val="en-US" w:eastAsia="zh-CN"/>
        </w:rPr>
        <w:t>3292</w:t>
      </w:r>
      <w:r>
        <w:rPr>
          <w:rFonts w:hint="eastAsia" w:ascii="仿宋" w:hAnsi="仿宋" w:eastAsia="仿宋" w:cs="仿宋"/>
          <w:sz w:val="28"/>
          <w:szCs w:val="28"/>
        </w:rPr>
        <w:t>人，分布在会计学院</w:t>
      </w:r>
      <w:r>
        <w:rPr>
          <w:rFonts w:hint="eastAsia" w:ascii="仿宋" w:hAnsi="仿宋" w:eastAsia="仿宋" w:cs="仿宋"/>
          <w:sz w:val="28"/>
          <w:szCs w:val="28"/>
          <w:lang w:val="en-US" w:eastAsia="zh-CN"/>
        </w:rPr>
        <w:t>1071</w:t>
      </w:r>
      <w:r>
        <w:rPr>
          <w:rFonts w:hint="eastAsia" w:ascii="仿宋" w:hAnsi="仿宋" w:eastAsia="仿宋" w:cs="仿宋"/>
          <w:sz w:val="28"/>
          <w:szCs w:val="28"/>
        </w:rPr>
        <w:t>人、财政金融学院</w:t>
      </w:r>
      <w:r>
        <w:rPr>
          <w:rFonts w:hint="eastAsia" w:ascii="仿宋" w:hAnsi="仿宋" w:eastAsia="仿宋" w:cs="仿宋"/>
          <w:sz w:val="28"/>
          <w:szCs w:val="28"/>
          <w:lang w:val="en-US" w:eastAsia="zh-CN"/>
        </w:rPr>
        <w:t>533</w:t>
      </w:r>
      <w:r>
        <w:rPr>
          <w:rFonts w:hint="eastAsia" w:ascii="仿宋" w:hAnsi="仿宋" w:eastAsia="仿宋" w:cs="仿宋"/>
          <w:sz w:val="28"/>
          <w:szCs w:val="28"/>
        </w:rPr>
        <w:t>人、工商管理学院</w:t>
      </w:r>
      <w:r>
        <w:rPr>
          <w:rFonts w:hint="eastAsia" w:ascii="仿宋" w:hAnsi="仿宋" w:eastAsia="仿宋" w:cs="仿宋"/>
          <w:sz w:val="28"/>
          <w:szCs w:val="28"/>
          <w:lang w:val="en-US" w:eastAsia="zh-CN"/>
        </w:rPr>
        <w:t>399</w:t>
      </w:r>
      <w:r>
        <w:rPr>
          <w:rFonts w:hint="eastAsia" w:ascii="仿宋" w:hAnsi="仿宋" w:eastAsia="仿宋" w:cs="仿宋"/>
          <w:sz w:val="28"/>
          <w:szCs w:val="28"/>
        </w:rPr>
        <w:t>人、信息技术与管理学院2</w:t>
      </w:r>
      <w:r>
        <w:rPr>
          <w:rFonts w:hint="eastAsia" w:ascii="仿宋" w:hAnsi="仿宋" w:eastAsia="仿宋" w:cs="仿宋"/>
          <w:sz w:val="28"/>
          <w:szCs w:val="28"/>
          <w:lang w:val="en-US" w:eastAsia="zh-CN"/>
        </w:rPr>
        <w:t>75</w:t>
      </w:r>
      <w:r>
        <w:rPr>
          <w:rFonts w:hint="eastAsia" w:ascii="仿宋" w:hAnsi="仿宋" w:eastAsia="仿宋" w:cs="仿宋"/>
          <w:sz w:val="28"/>
          <w:szCs w:val="28"/>
        </w:rPr>
        <w:t>人、外国语学院</w:t>
      </w:r>
      <w:r>
        <w:rPr>
          <w:rFonts w:hint="eastAsia" w:ascii="仿宋" w:hAnsi="仿宋" w:eastAsia="仿宋" w:cs="仿宋"/>
          <w:sz w:val="28"/>
          <w:szCs w:val="28"/>
          <w:lang w:val="en-US" w:eastAsia="zh-CN"/>
        </w:rPr>
        <w:t>308</w:t>
      </w:r>
      <w:r>
        <w:rPr>
          <w:rFonts w:hint="eastAsia" w:ascii="仿宋" w:hAnsi="仿宋" w:eastAsia="仿宋" w:cs="仿宋"/>
          <w:sz w:val="28"/>
          <w:szCs w:val="28"/>
        </w:rPr>
        <w:t>人、公共管理学院</w:t>
      </w:r>
      <w:r>
        <w:rPr>
          <w:rFonts w:hint="eastAsia" w:ascii="仿宋" w:hAnsi="仿宋" w:eastAsia="仿宋" w:cs="仿宋"/>
          <w:sz w:val="28"/>
          <w:szCs w:val="28"/>
          <w:lang w:val="en-US" w:eastAsia="zh-CN"/>
        </w:rPr>
        <w:t>90</w:t>
      </w:r>
      <w:r>
        <w:rPr>
          <w:rFonts w:hint="eastAsia" w:ascii="仿宋" w:hAnsi="仿宋" w:eastAsia="仿宋" w:cs="仿宋"/>
          <w:sz w:val="28"/>
          <w:szCs w:val="28"/>
        </w:rPr>
        <w:t>人、工程管理学院等2</w:t>
      </w:r>
      <w:r>
        <w:rPr>
          <w:rFonts w:hint="eastAsia" w:ascii="仿宋" w:hAnsi="仿宋" w:eastAsia="仿宋" w:cs="仿宋"/>
          <w:sz w:val="28"/>
          <w:szCs w:val="28"/>
          <w:lang w:val="en-US" w:eastAsia="zh-CN"/>
        </w:rPr>
        <w:t>72</w:t>
      </w:r>
      <w:r>
        <w:rPr>
          <w:rFonts w:hint="eastAsia" w:ascii="仿宋" w:hAnsi="仿宋" w:eastAsia="仿宋" w:cs="仿宋"/>
          <w:sz w:val="28"/>
          <w:szCs w:val="28"/>
        </w:rPr>
        <w:t>人、经济学院</w:t>
      </w:r>
      <w:r>
        <w:rPr>
          <w:rFonts w:hint="eastAsia" w:ascii="仿宋" w:hAnsi="仿宋" w:eastAsia="仿宋" w:cs="仿宋"/>
          <w:sz w:val="28"/>
          <w:szCs w:val="28"/>
          <w:lang w:val="en-US" w:eastAsia="zh-CN"/>
        </w:rPr>
        <w:t>239</w:t>
      </w:r>
      <w:r>
        <w:rPr>
          <w:rFonts w:hint="eastAsia" w:ascii="仿宋" w:hAnsi="仿宋" w:eastAsia="仿宋" w:cs="仿宋"/>
          <w:sz w:val="28"/>
          <w:szCs w:val="28"/>
        </w:rPr>
        <w:t>人</w:t>
      </w:r>
      <w:r>
        <w:rPr>
          <w:rFonts w:hint="eastAsia" w:ascii="仿宋" w:hAnsi="仿宋" w:eastAsia="仿宋" w:cs="仿宋"/>
          <w:sz w:val="28"/>
          <w:szCs w:val="28"/>
          <w:lang w:eastAsia="zh-CN"/>
        </w:rPr>
        <w:t>、厚生国际教育学院</w:t>
      </w:r>
      <w:r>
        <w:rPr>
          <w:rFonts w:hint="eastAsia" w:ascii="仿宋" w:hAnsi="仿宋" w:eastAsia="仿宋" w:cs="仿宋"/>
          <w:sz w:val="28"/>
          <w:szCs w:val="28"/>
          <w:lang w:val="en-US" w:eastAsia="zh-CN"/>
        </w:rPr>
        <w:t>105人</w:t>
      </w:r>
      <w:r>
        <w:rPr>
          <w:rFonts w:hint="eastAsia" w:ascii="仿宋" w:hAnsi="仿宋" w:eastAsia="仿宋" w:cs="仿宋"/>
          <w:sz w:val="28"/>
          <w:szCs w:val="28"/>
        </w:rPr>
        <w:t>等</w:t>
      </w:r>
      <w:r>
        <w:rPr>
          <w:rFonts w:hint="eastAsia" w:ascii="仿宋" w:hAnsi="仿宋" w:eastAsia="仿宋" w:cs="仿宋"/>
          <w:sz w:val="28"/>
          <w:szCs w:val="28"/>
          <w:lang w:val="en-US" w:eastAsia="zh-CN"/>
        </w:rPr>
        <w:t>9</w:t>
      </w:r>
      <w:r>
        <w:rPr>
          <w:rFonts w:hint="eastAsia" w:ascii="仿宋" w:hAnsi="仿宋" w:eastAsia="仿宋" w:cs="仿宋"/>
          <w:sz w:val="28"/>
          <w:szCs w:val="28"/>
        </w:rPr>
        <w:t>个二级学院，具体情况见图1-1。</w:t>
      </w:r>
    </w:p>
    <w:p>
      <w:pPr>
        <w:jc w:val="center"/>
        <w:rPr>
          <w:rFonts w:hint="eastAsia" w:ascii="仿宋" w:hAnsi="仿宋" w:eastAsia="仿宋" w:cs="仿宋"/>
          <w:b/>
          <w:sz w:val="30"/>
          <w:szCs w:val="30"/>
        </w:rPr>
      </w:pPr>
      <w:r>
        <w:rPr>
          <w:rFonts w:hint="eastAsia" w:ascii="仿宋" w:hAnsi="仿宋" w:eastAsia="仿宋" w:cs="仿宋"/>
          <w:b/>
          <w:sz w:val="30"/>
          <w:szCs w:val="30"/>
        </w:rPr>
        <w:t>图1-1  20</w:t>
      </w:r>
      <w:r>
        <w:rPr>
          <w:rFonts w:hint="eastAsia" w:ascii="仿宋" w:hAnsi="仿宋" w:eastAsia="仿宋" w:cs="仿宋"/>
          <w:b/>
          <w:sz w:val="30"/>
          <w:szCs w:val="30"/>
          <w:lang w:val="en-US" w:eastAsia="zh-CN"/>
        </w:rPr>
        <w:t>20</w:t>
      </w:r>
      <w:r>
        <w:rPr>
          <w:rFonts w:hint="eastAsia" w:ascii="仿宋" w:hAnsi="仿宋" w:eastAsia="仿宋" w:cs="仿宋"/>
          <w:b/>
          <w:sz w:val="30"/>
          <w:szCs w:val="30"/>
        </w:rPr>
        <w:t>届毕业生各二级学院人数分布图</w:t>
      </w:r>
    </w:p>
    <w:p>
      <w:pPr>
        <w:jc w:val="center"/>
        <w:rPr>
          <w:rFonts w:hint="eastAsia" w:ascii="仿宋" w:hAnsi="仿宋" w:eastAsia="仿宋" w:cs="仿宋"/>
          <w:b/>
          <w:sz w:val="30"/>
          <w:szCs w:val="30"/>
        </w:rPr>
      </w:pPr>
      <w:r>
        <w:rPr>
          <w:rFonts w:hint="eastAsia" w:ascii="仿宋" w:hAnsi="仿宋" w:eastAsia="仿宋" w:cs="仿宋"/>
        </w:rPr>
        <w:drawing>
          <wp:inline distT="0" distB="0" distL="114300" distR="114300">
            <wp:extent cx="4596130" cy="2761615"/>
            <wp:effectExtent l="0" t="0" r="13970" b="63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2"/>
                    <a:stretch>
                      <a:fillRect/>
                    </a:stretch>
                  </pic:blipFill>
                  <pic:spPr>
                    <a:xfrm>
                      <a:off x="0" y="0"/>
                      <a:ext cx="4596130" cy="2761615"/>
                    </a:xfrm>
                    <a:prstGeom prst="rect">
                      <a:avLst/>
                    </a:prstGeom>
                    <a:noFill/>
                    <a:ln>
                      <a:noFill/>
                    </a:ln>
                  </pic:spPr>
                </pic:pic>
              </a:graphicData>
            </a:graphic>
          </wp:inline>
        </w:drawing>
      </w:r>
    </w:p>
    <w:p>
      <w:pPr>
        <w:jc w:val="center"/>
        <w:rPr>
          <w:rFonts w:hint="eastAsia" w:ascii="仿宋" w:hAnsi="仿宋" w:eastAsia="仿宋" w:cs="仿宋"/>
          <w:b/>
          <w:sz w:val="30"/>
          <w:szCs w:val="30"/>
        </w:rPr>
      </w:pPr>
    </w:p>
    <w:p>
      <w:pPr>
        <w:pStyle w:val="5"/>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仿宋" w:hAnsi="仿宋" w:eastAsia="仿宋" w:cs="仿宋"/>
          <w:b w:val="0"/>
          <w:color w:val="1F497D"/>
          <w:sz w:val="30"/>
          <w:szCs w:val="30"/>
        </w:rPr>
      </w:pPr>
      <w:bookmarkStart w:id="14" w:name="_Toc26174"/>
      <w:bookmarkStart w:id="15" w:name="_Toc12768"/>
      <w:bookmarkStart w:id="16" w:name="_Toc6252"/>
      <w:r>
        <w:rPr>
          <w:rFonts w:hint="eastAsia" w:ascii="仿宋" w:hAnsi="仿宋" w:eastAsia="仿宋" w:cs="仿宋"/>
          <w:color w:val="1F497D"/>
          <w:sz w:val="30"/>
          <w:szCs w:val="30"/>
        </w:rPr>
        <w:t>1.1.1 毕业生性别比例</w:t>
      </w:r>
      <w:bookmarkEnd w:id="14"/>
      <w:bookmarkEnd w:id="15"/>
      <w:bookmarkEnd w:id="16"/>
    </w:p>
    <w:p>
      <w:pPr>
        <w:ind w:firstLine="560" w:firstLineChars="200"/>
        <w:rPr>
          <w:rFonts w:hint="eastAsia" w:ascii="仿宋" w:hAnsi="仿宋" w:eastAsia="仿宋" w:cs="仿宋"/>
          <w:sz w:val="28"/>
          <w:szCs w:val="28"/>
        </w:rPr>
      </w:pPr>
      <w:bookmarkStart w:id="17" w:name="_Toc437032028"/>
      <w:bookmarkStart w:id="18" w:name="_Toc437501603"/>
      <w:r>
        <w:rPr>
          <w:rFonts w:hint="eastAsia" w:ascii="仿宋" w:hAnsi="仿宋" w:eastAsia="仿宋" w:cs="仿宋"/>
          <w:sz w:val="28"/>
          <w:szCs w:val="28"/>
        </w:rPr>
        <w:t>学校20</w:t>
      </w:r>
      <w:r>
        <w:rPr>
          <w:rFonts w:hint="eastAsia" w:ascii="仿宋" w:hAnsi="仿宋" w:eastAsia="仿宋" w:cs="仿宋"/>
          <w:sz w:val="28"/>
          <w:szCs w:val="28"/>
          <w:lang w:val="en-US" w:eastAsia="zh-CN"/>
        </w:rPr>
        <w:t>20</w:t>
      </w:r>
      <w:r>
        <w:rPr>
          <w:rFonts w:hint="eastAsia" w:ascii="仿宋" w:hAnsi="仿宋" w:eastAsia="仿宋" w:cs="仿宋"/>
          <w:sz w:val="28"/>
          <w:szCs w:val="28"/>
        </w:rPr>
        <w:t>届毕业生中共有男生</w:t>
      </w:r>
      <w:r>
        <w:rPr>
          <w:rFonts w:hint="eastAsia" w:ascii="仿宋" w:hAnsi="仿宋" w:eastAsia="仿宋" w:cs="仿宋"/>
          <w:sz w:val="28"/>
          <w:szCs w:val="28"/>
          <w:lang w:val="en-US" w:eastAsia="zh-CN"/>
        </w:rPr>
        <w:t>895</w:t>
      </w:r>
      <w:r>
        <w:rPr>
          <w:rFonts w:hint="eastAsia" w:ascii="仿宋" w:hAnsi="仿宋" w:eastAsia="仿宋" w:cs="仿宋"/>
          <w:sz w:val="28"/>
          <w:szCs w:val="28"/>
        </w:rPr>
        <w:t>人，占毕业生总人数的2</w:t>
      </w:r>
      <w:r>
        <w:rPr>
          <w:rFonts w:hint="eastAsia" w:ascii="仿宋" w:hAnsi="仿宋" w:eastAsia="仿宋" w:cs="仿宋"/>
          <w:sz w:val="28"/>
          <w:szCs w:val="28"/>
          <w:lang w:val="en-US" w:eastAsia="zh-CN"/>
        </w:rPr>
        <w:t>7.19</w:t>
      </w:r>
      <w:r>
        <w:rPr>
          <w:rFonts w:hint="eastAsia" w:ascii="仿宋" w:hAnsi="仿宋" w:eastAsia="仿宋" w:cs="仿宋"/>
          <w:sz w:val="28"/>
          <w:szCs w:val="28"/>
        </w:rPr>
        <w:t>%；女生</w:t>
      </w:r>
      <w:r>
        <w:rPr>
          <w:rFonts w:hint="eastAsia" w:ascii="仿宋" w:hAnsi="仿宋" w:eastAsia="仿宋" w:cs="仿宋"/>
          <w:sz w:val="28"/>
          <w:szCs w:val="28"/>
          <w:lang w:val="en-US" w:eastAsia="zh-CN"/>
        </w:rPr>
        <w:t>2397</w:t>
      </w:r>
      <w:r>
        <w:rPr>
          <w:rFonts w:hint="eastAsia" w:ascii="仿宋" w:hAnsi="仿宋" w:eastAsia="仿宋" w:cs="仿宋"/>
          <w:sz w:val="28"/>
          <w:szCs w:val="28"/>
        </w:rPr>
        <w:t>人，占毕业生总人数7</w:t>
      </w:r>
      <w:r>
        <w:rPr>
          <w:rFonts w:hint="eastAsia" w:ascii="仿宋" w:hAnsi="仿宋" w:eastAsia="仿宋" w:cs="仿宋"/>
          <w:sz w:val="28"/>
          <w:szCs w:val="28"/>
          <w:lang w:val="en-US" w:eastAsia="zh-CN"/>
        </w:rPr>
        <w:t>2.81</w:t>
      </w:r>
      <w:r>
        <w:rPr>
          <w:rFonts w:hint="eastAsia" w:ascii="仿宋" w:hAnsi="仿宋" w:eastAsia="仿宋" w:cs="仿宋"/>
          <w:sz w:val="28"/>
          <w:szCs w:val="28"/>
        </w:rPr>
        <w:t>%，毕业生男女生人数比例情况如图1-2所示。</w:t>
      </w:r>
    </w:p>
    <w:p>
      <w:pPr>
        <w:jc w:val="center"/>
        <w:rPr>
          <w:rFonts w:hint="eastAsia" w:ascii="仿宋" w:hAnsi="仿宋" w:eastAsia="仿宋" w:cs="仿宋"/>
          <w:b/>
          <w:sz w:val="28"/>
          <w:szCs w:val="28"/>
        </w:rPr>
      </w:pPr>
    </w:p>
    <w:p>
      <w:pPr>
        <w:jc w:val="center"/>
        <w:rPr>
          <w:rFonts w:hint="eastAsia" w:ascii="仿宋" w:hAnsi="仿宋" w:eastAsia="仿宋" w:cs="仿宋"/>
          <w:b/>
          <w:sz w:val="30"/>
          <w:szCs w:val="30"/>
        </w:rPr>
        <w:sectPr>
          <w:footerReference r:id="rId6" w:type="default"/>
          <w:pgSz w:w="11906" w:h="16838"/>
          <w:pgMar w:top="1701" w:right="1800" w:bottom="1440" w:left="1800" w:header="851" w:footer="992" w:gutter="0"/>
          <w:pgNumType w:fmt="decimal"/>
          <w:cols w:space="720" w:num="1"/>
          <w:docGrid w:type="lines" w:linePitch="312" w:charSpace="0"/>
        </w:sectPr>
      </w:pPr>
    </w:p>
    <w:p>
      <w:pPr>
        <w:jc w:val="center"/>
        <w:rPr>
          <w:rFonts w:hint="eastAsia" w:ascii="仿宋" w:hAnsi="仿宋" w:eastAsia="仿宋" w:cs="仿宋"/>
          <w:b/>
          <w:sz w:val="30"/>
          <w:szCs w:val="30"/>
        </w:rPr>
      </w:pPr>
      <w:r>
        <w:rPr>
          <w:rFonts w:hint="eastAsia" w:ascii="仿宋" w:hAnsi="仿宋" w:eastAsia="仿宋" w:cs="仿宋"/>
          <w:b/>
          <w:sz w:val="30"/>
          <w:szCs w:val="30"/>
        </w:rPr>
        <w:t>图1-2  20</w:t>
      </w:r>
      <w:r>
        <w:rPr>
          <w:rFonts w:hint="eastAsia" w:ascii="仿宋" w:hAnsi="仿宋" w:eastAsia="仿宋" w:cs="仿宋"/>
          <w:b/>
          <w:sz w:val="30"/>
          <w:szCs w:val="30"/>
          <w:lang w:val="en-US" w:eastAsia="zh-CN"/>
        </w:rPr>
        <w:t>20</w:t>
      </w:r>
      <w:r>
        <w:rPr>
          <w:rFonts w:hint="eastAsia" w:ascii="仿宋" w:hAnsi="仿宋" w:eastAsia="仿宋" w:cs="仿宋"/>
          <w:b/>
          <w:sz w:val="30"/>
          <w:szCs w:val="30"/>
        </w:rPr>
        <w:t>届毕业生男女比例</w:t>
      </w:r>
      <w:r>
        <w:rPr>
          <w:rFonts w:hint="eastAsia" w:ascii="仿宋" w:hAnsi="仿宋" w:eastAsia="仿宋" w:cs="仿宋"/>
          <w:b/>
          <w:sz w:val="30"/>
          <w:szCs w:val="30"/>
          <w:lang w:eastAsia="zh-CN"/>
        </w:rPr>
        <w:t>分布</w:t>
      </w:r>
      <w:r>
        <w:rPr>
          <w:rFonts w:hint="eastAsia" w:ascii="仿宋" w:hAnsi="仿宋" w:eastAsia="仿宋" w:cs="仿宋"/>
          <w:b/>
          <w:sz w:val="30"/>
          <w:szCs w:val="30"/>
        </w:rPr>
        <w:t>图</w:t>
      </w:r>
    </w:p>
    <w:p>
      <w:pPr>
        <w:jc w:val="center"/>
        <w:rPr>
          <w:rFonts w:hint="eastAsia" w:ascii="仿宋" w:hAnsi="仿宋" w:eastAsia="仿宋" w:cs="仿宋"/>
          <w:b/>
          <w:sz w:val="30"/>
          <w:szCs w:val="30"/>
        </w:rPr>
      </w:pPr>
      <w:r>
        <w:rPr>
          <w:rFonts w:hint="eastAsia" w:ascii="仿宋" w:hAnsi="仿宋" w:eastAsia="仿宋" w:cs="仿宋"/>
        </w:rPr>
        <w:drawing>
          <wp:inline distT="0" distB="0" distL="114300" distR="114300">
            <wp:extent cx="4572000" cy="2771775"/>
            <wp:effectExtent l="4445" t="4445" r="14605" b="5080"/>
            <wp:docPr id="2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jc w:val="center"/>
        <w:rPr>
          <w:rFonts w:hint="eastAsia" w:ascii="仿宋" w:hAnsi="仿宋" w:eastAsia="仿宋" w:cs="仿宋"/>
          <w:b/>
          <w:sz w:val="28"/>
          <w:szCs w:val="28"/>
        </w:rPr>
      </w:pPr>
    </w:p>
    <w:p>
      <w:pPr>
        <w:pStyle w:val="5"/>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仿宋" w:hAnsi="仿宋" w:eastAsia="仿宋" w:cs="仿宋"/>
          <w:b w:val="0"/>
          <w:color w:val="1F497D"/>
          <w:sz w:val="30"/>
          <w:szCs w:val="30"/>
        </w:rPr>
      </w:pPr>
      <w:bookmarkStart w:id="19" w:name="_Toc437501605"/>
      <w:bookmarkStart w:id="20" w:name="_Toc437032030"/>
      <w:bookmarkStart w:id="21" w:name="_Toc15213"/>
      <w:bookmarkStart w:id="22" w:name="_Toc17300"/>
      <w:bookmarkStart w:id="23" w:name="_Toc22882"/>
      <w:r>
        <w:rPr>
          <w:rFonts w:hint="eastAsia" w:ascii="仿宋" w:hAnsi="仿宋" w:eastAsia="仿宋" w:cs="仿宋"/>
          <w:color w:val="1F497D"/>
          <w:sz w:val="30"/>
          <w:szCs w:val="30"/>
        </w:rPr>
        <w:t>1.1.2 毕业生民族</w:t>
      </w:r>
      <w:bookmarkEnd w:id="19"/>
      <w:bookmarkEnd w:id="20"/>
      <w:r>
        <w:rPr>
          <w:rFonts w:hint="eastAsia" w:ascii="仿宋" w:hAnsi="仿宋" w:eastAsia="仿宋" w:cs="仿宋"/>
          <w:color w:val="1F497D"/>
          <w:sz w:val="30"/>
          <w:szCs w:val="30"/>
        </w:rPr>
        <w:t>分布</w:t>
      </w:r>
      <w:bookmarkEnd w:id="21"/>
      <w:bookmarkEnd w:id="22"/>
      <w:bookmarkEnd w:id="23"/>
    </w:p>
    <w:p>
      <w:pPr>
        <w:ind w:firstLine="560" w:firstLineChars="200"/>
        <w:rPr>
          <w:rFonts w:hint="eastAsia" w:ascii="仿宋" w:hAnsi="仿宋" w:eastAsia="仿宋" w:cs="仿宋"/>
          <w:sz w:val="28"/>
          <w:szCs w:val="28"/>
        </w:rPr>
      </w:pPr>
      <w:r>
        <w:rPr>
          <w:rFonts w:hint="eastAsia" w:ascii="仿宋" w:hAnsi="仿宋" w:eastAsia="仿宋" w:cs="仿宋"/>
          <w:sz w:val="28"/>
          <w:szCs w:val="28"/>
        </w:rPr>
        <w:t>我校20</w:t>
      </w:r>
      <w:r>
        <w:rPr>
          <w:rFonts w:hint="eastAsia" w:ascii="仿宋" w:hAnsi="仿宋" w:eastAsia="仿宋" w:cs="仿宋"/>
          <w:sz w:val="28"/>
          <w:szCs w:val="28"/>
          <w:lang w:val="en-US" w:eastAsia="zh-CN"/>
        </w:rPr>
        <w:t>20</w:t>
      </w:r>
      <w:r>
        <w:rPr>
          <w:rFonts w:hint="eastAsia" w:ascii="仿宋" w:hAnsi="仿宋" w:eastAsia="仿宋" w:cs="仿宋"/>
          <w:sz w:val="28"/>
          <w:szCs w:val="28"/>
        </w:rPr>
        <w:t>届毕业生共有少数民族学生</w:t>
      </w:r>
      <w:r>
        <w:rPr>
          <w:rFonts w:hint="eastAsia" w:ascii="仿宋" w:hAnsi="仿宋" w:eastAsia="仿宋" w:cs="仿宋"/>
          <w:sz w:val="28"/>
          <w:szCs w:val="28"/>
          <w:lang w:val="en-US" w:eastAsia="zh-CN"/>
        </w:rPr>
        <w:t>261</w:t>
      </w:r>
      <w:r>
        <w:rPr>
          <w:rFonts w:hint="eastAsia" w:ascii="仿宋" w:hAnsi="仿宋" w:eastAsia="仿宋" w:cs="仿宋"/>
          <w:sz w:val="28"/>
          <w:szCs w:val="28"/>
        </w:rPr>
        <w:t>人，占毕业生总人数的7.</w:t>
      </w:r>
      <w:r>
        <w:rPr>
          <w:rFonts w:hint="eastAsia" w:ascii="仿宋" w:hAnsi="仿宋" w:eastAsia="仿宋" w:cs="仿宋"/>
          <w:sz w:val="28"/>
          <w:szCs w:val="28"/>
          <w:lang w:val="en-US" w:eastAsia="zh-CN"/>
        </w:rPr>
        <w:t>93</w:t>
      </w:r>
      <w:r>
        <w:rPr>
          <w:rFonts w:hint="eastAsia" w:ascii="仿宋" w:hAnsi="仿宋" w:eastAsia="仿宋" w:cs="仿宋"/>
          <w:sz w:val="28"/>
          <w:szCs w:val="28"/>
        </w:rPr>
        <w:t>%。这些学生共来自17个少数民族，学生人数最多的5个少数民族分别是：土家族(</w:t>
      </w:r>
      <w:r>
        <w:rPr>
          <w:rFonts w:hint="eastAsia" w:ascii="仿宋" w:hAnsi="仿宋" w:eastAsia="仿宋" w:cs="仿宋"/>
          <w:sz w:val="28"/>
          <w:szCs w:val="28"/>
          <w:lang w:val="en-US" w:eastAsia="zh-CN"/>
        </w:rPr>
        <w:t>101</w:t>
      </w:r>
      <w:r>
        <w:rPr>
          <w:rFonts w:hint="eastAsia" w:ascii="仿宋" w:hAnsi="仿宋" w:eastAsia="仿宋" w:cs="仿宋"/>
          <w:sz w:val="28"/>
          <w:szCs w:val="28"/>
        </w:rPr>
        <w:t>人)、苗族（</w:t>
      </w:r>
      <w:r>
        <w:rPr>
          <w:rFonts w:hint="eastAsia" w:ascii="仿宋" w:hAnsi="仿宋" w:eastAsia="仿宋" w:cs="仿宋"/>
          <w:sz w:val="28"/>
          <w:szCs w:val="28"/>
          <w:lang w:val="en-US" w:eastAsia="zh-CN"/>
        </w:rPr>
        <w:t>50</w:t>
      </w:r>
      <w:r>
        <w:rPr>
          <w:rFonts w:hint="eastAsia" w:ascii="仿宋" w:hAnsi="仿宋" w:eastAsia="仿宋" w:cs="仿宋"/>
          <w:sz w:val="28"/>
          <w:szCs w:val="28"/>
        </w:rPr>
        <w:t>人）、瑶族(</w:t>
      </w:r>
      <w:r>
        <w:rPr>
          <w:rFonts w:hint="eastAsia" w:ascii="仿宋" w:hAnsi="仿宋" w:eastAsia="仿宋" w:cs="仿宋"/>
          <w:sz w:val="28"/>
          <w:szCs w:val="28"/>
          <w:lang w:val="en-US" w:eastAsia="zh-CN"/>
        </w:rPr>
        <w:t>2</w:t>
      </w:r>
      <w:r>
        <w:rPr>
          <w:rFonts w:hint="eastAsia" w:ascii="仿宋" w:hAnsi="仿宋" w:eastAsia="仿宋" w:cs="仿宋"/>
          <w:sz w:val="28"/>
          <w:szCs w:val="28"/>
        </w:rPr>
        <w:t>7人)、侗族(</w:t>
      </w:r>
      <w:r>
        <w:rPr>
          <w:rFonts w:hint="eastAsia" w:ascii="仿宋" w:hAnsi="仿宋" w:eastAsia="仿宋" w:cs="仿宋"/>
          <w:sz w:val="28"/>
          <w:szCs w:val="28"/>
          <w:lang w:val="en-US" w:eastAsia="zh-CN"/>
        </w:rPr>
        <w:t>23</w:t>
      </w:r>
      <w:r>
        <w:rPr>
          <w:rFonts w:hint="eastAsia" w:ascii="仿宋" w:hAnsi="仿宋" w:eastAsia="仿宋" w:cs="仿宋"/>
          <w:sz w:val="28"/>
          <w:szCs w:val="28"/>
        </w:rPr>
        <w:t>人)、</w:t>
      </w:r>
      <w:r>
        <w:rPr>
          <w:rFonts w:hint="eastAsia" w:ascii="仿宋" w:hAnsi="仿宋" w:eastAsia="仿宋" w:cs="仿宋"/>
          <w:sz w:val="28"/>
          <w:szCs w:val="28"/>
          <w:lang w:eastAsia="zh-CN"/>
        </w:rPr>
        <w:t>回族（</w:t>
      </w:r>
      <w:r>
        <w:rPr>
          <w:rFonts w:hint="eastAsia" w:ascii="仿宋" w:hAnsi="仿宋" w:eastAsia="仿宋" w:cs="仿宋"/>
          <w:sz w:val="28"/>
          <w:szCs w:val="28"/>
          <w:lang w:val="en-US" w:eastAsia="zh-CN"/>
        </w:rPr>
        <w:t>15人</w:t>
      </w:r>
      <w:r>
        <w:rPr>
          <w:rFonts w:hint="eastAsia" w:ascii="仿宋" w:hAnsi="仿宋" w:eastAsia="仿宋" w:cs="仿宋"/>
          <w:sz w:val="28"/>
          <w:szCs w:val="28"/>
          <w:lang w:eastAsia="zh-CN"/>
        </w:rPr>
        <w:t>），</w:t>
      </w:r>
      <w:r>
        <w:rPr>
          <w:rFonts w:hint="eastAsia" w:ascii="仿宋" w:hAnsi="仿宋" w:eastAsia="仿宋" w:cs="仿宋"/>
          <w:sz w:val="28"/>
          <w:szCs w:val="28"/>
        </w:rPr>
        <w:t>具体情况见图1-3。</w:t>
      </w:r>
    </w:p>
    <w:p>
      <w:pPr>
        <w:jc w:val="center"/>
        <w:rPr>
          <w:rFonts w:hint="eastAsia" w:ascii="仿宋" w:hAnsi="仿宋" w:eastAsia="仿宋" w:cs="仿宋"/>
          <w:b/>
          <w:sz w:val="30"/>
          <w:szCs w:val="30"/>
        </w:rPr>
      </w:pPr>
      <w:r>
        <w:rPr>
          <w:rFonts w:hint="eastAsia" w:ascii="仿宋" w:hAnsi="仿宋" w:eastAsia="仿宋" w:cs="仿宋"/>
          <w:b/>
          <w:sz w:val="30"/>
          <w:szCs w:val="30"/>
        </w:rPr>
        <w:t>图1-3  20</w:t>
      </w:r>
      <w:r>
        <w:rPr>
          <w:rFonts w:hint="eastAsia" w:ascii="仿宋" w:hAnsi="仿宋" w:eastAsia="仿宋" w:cs="仿宋"/>
          <w:b/>
          <w:sz w:val="30"/>
          <w:szCs w:val="30"/>
          <w:lang w:val="en-US" w:eastAsia="zh-CN"/>
        </w:rPr>
        <w:t>20</w:t>
      </w:r>
      <w:r>
        <w:rPr>
          <w:rFonts w:hint="eastAsia" w:ascii="仿宋" w:hAnsi="仿宋" w:eastAsia="仿宋" w:cs="仿宋"/>
          <w:b/>
          <w:sz w:val="30"/>
          <w:szCs w:val="30"/>
        </w:rPr>
        <w:t>届毕业生所属民族人数分布图</w:t>
      </w:r>
    </w:p>
    <w:p>
      <w:pPr>
        <w:jc w:val="center"/>
        <w:rPr>
          <w:rFonts w:hint="eastAsia" w:ascii="仿宋" w:hAnsi="仿宋" w:eastAsia="仿宋" w:cs="仿宋"/>
          <w:b/>
          <w:sz w:val="30"/>
          <w:szCs w:val="30"/>
        </w:rPr>
      </w:pPr>
      <w:r>
        <w:rPr>
          <w:rFonts w:hint="eastAsia" w:ascii="仿宋" w:hAnsi="仿宋" w:eastAsia="仿宋" w:cs="仿宋"/>
        </w:rPr>
        <w:drawing>
          <wp:inline distT="0" distB="0" distL="114300" distR="114300">
            <wp:extent cx="4742815" cy="2390775"/>
            <wp:effectExtent l="0" t="0" r="635" b="9525"/>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14"/>
                    <a:stretch>
                      <a:fillRect/>
                    </a:stretch>
                  </pic:blipFill>
                  <pic:spPr>
                    <a:xfrm>
                      <a:off x="0" y="0"/>
                      <a:ext cx="4742815" cy="2390775"/>
                    </a:xfrm>
                    <a:prstGeom prst="rect">
                      <a:avLst/>
                    </a:prstGeom>
                    <a:noFill/>
                    <a:ln>
                      <a:noFill/>
                    </a:ln>
                  </pic:spPr>
                </pic:pic>
              </a:graphicData>
            </a:graphic>
          </wp:inline>
        </w:drawing>
      </w:r>
    </w:p>
    <w:p>
      <w:pPr>
        <w:pStyle w:val="5"/>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仿宋" w:hAnsi="仿宋" w:eastAsia="仿宋" w:cs="仿宋"/>
          <w:b w:val="0"/>
          <w:color w:val="1F497D"/>
          <w:sz w:val="30"/>
          <w:szCs w:val="30"/>
        </w:rPr>
      </w:pPr>
      <w:bookmarkStart w:id="24" w:name="_Toc3086"/>
      <w:bookmarkStart w:id="25" w:name="_Toc27181"/>
      <w:bookmarkStart w:id="26" w:name="_Toc3822"/>
      <w:r>
        <w:rPr>
          <w:rFonts w:hint="eastAsia" w:ascii="仿宋" w:hAnsi="仿宋" w:eastAsia="仿宋" w:cs="仿宋"/>
          <w:color w:val="1F497D"/>
          <w:sz w:val="30"/>
          <w:szCs w:val="30"/>
        </w:rPr>
        <w:t>1.1.3 毕业生生源</w:t>
      </w:r>
      <w:bookmarkEnd w:id="17"/>
      <w:bookmarkEnd w:id="18"/>
      <w:r>
        <w:rPr>
          <w:rFonts w:hint="eastAsia" w:ascii="仿宋" w:hAnsi="仿宋" w:eastAsia="仿宋" w:cs="仿宋"/>
          <w:color w:val="1F497D"/>
          <w:sz w:val="30"/>
          <w:szCs w:val="30"/>
        </w:rPr>
        <w:t>地区分布</w:t>
      </w:r>
      <w:bookmarkEnd w:id="24"/>
      <w:bookmarkEnd w:id="25"/>
      <w:bookmarkEnd w:id="26"/>
    </w:p>
    <w:p>
      <w:pPr>
        <w:ind w:firstLine="551" w:firstLineChars="197"/>
        <w:rPr>
          <w:rFonts w:hint="eastAsia" w:ascii="仿宋" w:hAnsi="仿宋" w:eastAsia="仿宋" w:cs="仿宋"/>
          <w:sz w:val="28"/>
          <w:szCs w:val="28"/>
        </w:rPr>
      </w:pPr>
      <w:r>
        <w:rPr>
          <w:rFonts w:hint="eastAsia" w:ascii="仿宋" w:hAnsi="仿宋" w:eastAsia="仿宋" w:cs="仿宋"/>
          <w:sz w:val="28"/>
          <w:szCs w:val="28"/>
        </w:rPr>
        <w:t>20</w:t>
      </w:r>
      <w:r>
        <w:rPr>
          <w:rFonts w:hint="eastAsia" w:ascii="仿宋" w:hAnsi="仿宋" w:eastAsia="仿宋" w:cs="仿宋"/>
          <w:sz w:val="28"/>
          <w:szCs w:val="28"/>
          <w:lang w:val="en-US" w:eastAsia="zh-CN"/>
        </w:rPr>
        <w:t>20</w:t>
      </w:r>
      <w:r>
        <w:rPr>
          <w:rFonts w:hint="eastAsia" w:ascii="仿宋" w:hAnsi="仿宋" w:eastAsia="仿宋" w:cs="仿宋"/>
          <w:sz w:val="28"/>
          <w:szCs w:val="28"/>
        </w:rPr>
        <w:t>届毕业生生源来自2</w:t>
      </w:r>
      <w:r>
        <w:rPr>
          <w:rFonts w:hint="eastAsia" w:ascii="仿宋" w:hAnsi="仿宋" w:eastAsia="仿宋" w:cs="仿宋"/>
          <w:sz w:val="28"/>
          <w:szCs w:val="28"/>
          <w:lang w:val="en-US" w:eastAsia="zh-CN"/>
        </w:rPr>
        <w:t>9</w:t>
      </w:r>
      <w:r>
        <w:rPr>
          <w:rFonts w:hint="eastAsia" w:ascii="仿宋" w:hAnsi="仿宋" w:eastAsia="仿宋" w:cs="仿宋"/>
          <w:sz w:val="28"/>
          <w:szCs w:val="28"/>
        </w:rPr>
        <w:t>个省(市、自治区)，其中，湖南生源</w:t>
      </w:r>
      <w:r>
        <w:rPr>
          <w:rFonts w:hint="eastAsia" w:ascii="仿宋" w:hAnsi="仿宋" w:eastAsia="仿宋" w:cs="仿宋"/>
          <w:sz w:val="28"/>
          <w:szCs w:val="28"/>
          <w:lang w:val="en-US" w:eastAsia="zh-CN"/>
        </w:rPr>
        <w:t>2611</w:t>
      </w:r>
      <w:r>
        <w:rPr>
          <w:rFonts w:hint="eastAsia" w:ascii="仿宋" w:hAnsi="仿宋" w:eastAsia="仿宋" w:cs="仿宋"/>
          <w:sz w:val="28"/>
          <w:szCs w:val="28"/>
        </w:rPr>
        <w:t>人，占毕业生生源总人数7</w:t>
      </w:r>
      <w:r>
        <w:rPr>
          <w:rFonts w:hint="eastAsia" w:ascii="仿宋" w:hAnsi="仿宋" w:eastAsia="仿宋" w:cs="仿宋"/>
          <w:sz w:val="28"/>
          <w:szCs w:val="28"/>
          <w:lang w:val="en-US" w:eastAsia="zh-CN"/>
        </w:rPr>
        <w:t>9.31</w:t>
      </w:r>
      <w:r>
        <w:rPr>
          <w:rFonts w:hint="eastAsia" w:ascii="仿宋" w:hAnsi="仿宋" w:eastAsia="仿宋" w:cs="仿宋"/>
          <w:sz w:val="28"/>
          <w:szCs w:val="28"/>
        </w:rPr>
        <w:t>%，除</w:t>
      </w:r>
      <w:r>
        <w:rPr>
          <w:rFonts w:hint="eastAsia" w:ascii="仿宋" w:hAnsi="仿宋" w:eastAsia="仿宋" w:cs="仿宋"/>
          <w:sz w:val="28"/>
          <w:szCs w:val="28"/>
          <w:lang w:eastAsia="zh-CN"/>
        </w:rPr>
        <w:t>北京市</w:t>
      </w:r>
      <w:r>
        <w:rPr>
          <w:rFonts w:hint="eastAsia" w:ascii="仿宋" w:hAnsi="仿宋" w:eastAsia="仿宋" w:cs="仿宋"/>
          <w:sz w:val="28"/>
          <w:szCs w:val="28"/>
          <w:lang w:val="en-US" w:eastAsia="zh-CN"/>
        </w:rPr>
        <w:t>2人、上海市4人、内蒙古8人、甘肃和天津各9人</w:t>
      </w:r>
      <w:r>
        <w:rPr>
          <w:rFonts w:hint="eastAsia" w:ascii="仿宋" w:hAnsi="仿宋" w:eastAsia="仿宋" w:cs="仿宋"/>
          <w:sz w:val="28"/>
          <w:szCs w:val="28"/>
        </w:rPr>
        <w:t>外，其他省、市、自治区生源人数基本相当，</w:t>
      </w:r>
      <w:r>
        <w:rPr>
          <w:rFonts w:hint="eastAsia" w:ascii="仿宋" w:hAnsi="仿宋" w:eastAsia="仿宋" w:cs="仿宋"/>
          <w:color w:val="000000"/>
          <w:sz w:val="28"/>
          <w:szCs w:val="28"/>
        </w:rPr>
        <w:t>具体情况详见图1-4。</w:t>
      </w:r>
    </w:p>
    <w:p>
      <w:pPr>
        <w:jc w:val="center"/>
        <w:rPr>
          <w:rFonts w:hint="eastAsia" w:ascii="仿宋" w:hAnsi="仿宋" w:eastAsia="仿宋" w:cs="仿宋"/>
          <w:b/>
          <w:sz w:val="30"/>
          <w:szCs w:val="30"/>
        </w:rPr>
      </w:pPr>
      <w:r>
        <w:rPr>
          <w:rFonts w:hint="eastAsia" w:ascii="仿宋" w:hAnsi="仿宋" w:eastAsia="仿宋" w:cs="仿宋"/>
          <w:b/>
          <w:sz w:val="30"/>
          <w:szCs w:val="30"/>
        </w:rPr>
        <w:t>图1-4  20</w:t>
      </w:r>
      <w:r>
        <w:rPr>
          <w:rFonts w:hint="eastAsia" w:ascii="仿宋" w:hAnsi="仿宋" w:eastAsia="仿宋" w:cs="仿宋"/>
          <w:b/>
          <w:sz w:val="30"/>
          <w:szCs w:val="30"/>
          <w:lang w:val="en-US" w:eastAsia="zh-CN"/>
        </w:rPr>
        <w:t>20</w:t>
      </w:r>
      <w:r>
        <w:rPr>
          <w:rFonts w:hint="eastAsia" w:ascii="仿宋" w:hAnsi="仿宋" w:eastAsia="仿宋" w:cs="仿宋"/>
          <w:b/>
          <w:sz w:val="30"/>
          <w:szCs w:val="30"/>
        </w:rPr>
        <w:t>届毕业生生源</w:t>
      </w:r>
      <w:r>
        <w:rPr>
          <w:rFonts w:hint="eastAsia" w:ascii="仿宋" w:hAnsi="仿宋" w:eastAsia="仿宋" w:cs="仿宋"/>
          <w:b/>
          <w:sz w:val="30"/>
          <w:szCs w:val="30"/>
          <w:lang w:eastAsia="zh-CN"/>
        </w:rPr>
        <w:t>地区</w:t>
      </w:r>
      <w:r>
        <w:rPr>
          <w:rFonts w:hint="eastAsia" w:ascii="仿宋" w:hAnsi="仿宋" w:eastAsia="仿宋" w:cs="仿宋"/>
          <w:b/>
          <w:sz w:val="30"/>
          <w:szCs w:val="30"/>
        </w:rPr>
        <w:t>人数分布图</w:t>
      </w:r>
    </w:p>
    <w:p>
      <w:pPr>
        <w:jc w:val="center"/>
        <w:rPr>
          <w:rFonts w:hint="eastAsia" w:ascii="仿宋" w:hAnsi="仿宋" w:eastAsia="仿宋" w:cs="仿宋"/>
          <w:b/>
          <w:sz w:val="30"/>
          <w:szCs w:val="30"/>
        </w:rPr>
      </w:pPr>
      <w:r>
        <w:rPr>
          <w:rFonts w:hint="eastAsia" w:ascii="仿宋" w:hAnsi="仿宋" w:eastAsia="仿宋" w:cs="仿宋"/>
        </w:rPr>
        <w:drawing>
          <wp:inline distT="0" distB="0" distL="114300" distR="114300">
            <wp:extent cx="4511040" cy="2692400"/>
            <wp:effectExtent l="0" t="0" r="3810" b="1270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a:stretch>
                      <a:fillRect/>
                    </a:stretch>
                  </pic:blipFill>
                  <pic:spPr>
                    <a:xfrm>
                      <a:off x="0" y="0"/>
                      <a:ext cx="4511040" cy="2692400"/>
                    </a:xfrm>
                    <a:prstGeom prst="rect">
                      <a:avLst/>
                    </a:prstGeom>
                    <a:noFill/>
                    <a:ln>
                      <a:noFill/>
                    </a:ln>
                  </pic:spPr>
                </pic:pic>
              </a:graphicData>
            </a:graphic>
          </wp:inline>
        </w:drawing>
      </w:r>
    </w:p>
    <w:p>
      <w:pPr>
        <w:pStyle w:val="5"/>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仿宋" w:hAnsi="仿宋" w:eastAsia="仿宋" w:cs="仿宋"/>
          <w:b w:val="0"/>
          <w:color w:val="1F497D"/>
          <w:sz w:val="30"/>
          <w:szCs w:val="30"/>
        </w:rPr>
      </w:pPr>
      <w:bookmarkStart w:id="27" w:name="_Toc14013"/>
      <w:bookmarkStart w:id="28" w:name="_Toc437501606"/>
      <w:bookmarkStart w:id="29" w:name="_Toc437032031"/>
      <w:bookmarkStart w:id="30" w:name="_Toc15049"/>
      <w:bookmarkStart w:id="31" w:name="_Toc8683"/>
      <w:r>
        <w:rPr>
          <w:rFonts w:hint="eastAsia" w:ascii="仿宋" w:hAnsi="仿宋" w:eastAsia="仿宋" w:cs="仿宋"/>
          <w:color w:val="1F497D"/>
          <w:sz w:val="30"/>
          <w:szCs w:val="30"/>
        </w:rPr>
        <w:t>1.1.4 毕业生学科专业结构</w:t>
      </w:r>
      <w:bookmarkEnd w:id="27"/>
      <w:bookmarkEnd w:id="28"/>
      <w:bookmarkEnd w:id="29"/>
      <w:bookmarkEnd w:id="30"/>
      <w:bookmarkEnd w:id="31"/>
    </w:p>
    <w:p>
      <w:pPr>
        <w:ind w:firstLine="560" w:firstLineChars="200"/>
        <w:rPr>
          <w:rFonts w:hint="eastAsia" w:ascii="仿宋" w:hAnsi="仿宋" w:eastAsia="仿宋" w:cs="仿宋"/>
          <w:sz w:val="28"/>
          <w:szCs w:val="28"/>
        </w:rPr>
      </w:pPr>
      <w:r>
        <w:rPr>
          <w:rFonts w:hint="eastAsia" w:ascii="仿宋" w:hAnsi="仿宋" w:eastAsia="仿宋" w:cs="仿宋"/>
          <w:sz w:val="28"/>
          <w:szCs w:val="28"/>
        </w:rPr>
        <w:t>我校20</w:t>
      </w:r>
      <w:r>
        <w:rPr>
          <w:rFonts w:hint="eastAsia" w:ascii="仿宋" w:hAnsi="仿宋" w:eastAsia="仿宋" w:cs="仿宋"/>
          <w:sz w:val="28"/>
          <w:szCs w:val="28"/>
          <w:lang w:val="en-US" w:eastAsia="zh-CN"/>
        </w:rPr>
        <w:t>20</w:t>
      </w:r>
      <w:r>
        <w:rPr>
          <w:rFonts w:hint="eastAsia" w:ascii="仿宋" w:hAnsi="仿宋" w:eastAsia="仿宋" w:cs="仿宋"/>
          <w:sz w:val="28"/>
          <w:szCs w:val="28"/>
        </w:rPr>
        <w:t>届毕业生来自</w:t>
      </w:r>
      <w:r>
        <w:rPr>
          <w:rFonts w:hint="eastAsia" w:ascii="仿宋" w:hAnsi="仿宋" w:eastAsia="仿宋" w:cs="仿宋"/>
          <w:color w:val="000000"/>
          <w:sz w:val="28"/>
          <w:szCs w:val="28"/>
        </w:rPr>
        <w:t>会计学</w:t>
      </w:r>
      <w:r>
        <w:rPr>
          <w:rFonts w:hint="eastAsia" w:ascii="仿宋" w:hAnsi="仿宋" w:eastAsia="仿宋" w:cs="仿宋"/>
          <w:sz w:val="28"/>
          <w:szCs w:val="28"/>
        </w:rPr>
        <w:t>、</w:t>
      </w:r>
      <w:r>
        <w:rPr>
          <w:rFonts w:hint="eastAsia" w:ascii="仿宋" w:hAnsi="仿宋" w:eastAsia="仿宋" w:cs="仿宋"/>
          <w:color w:val="000000"/>
          <w:sz w:val="28"/>
          <w:szCs w:val="28"/>
        </w:rPr>
        <w:t>财务管理</w:t>
      </w:r>
      <w:r>
        <w:rPr>
          <w:rFonts w:hint="eastAsia" w:ascii="仿宋" w:hAnsi="仿宋" w:eastAsia="仿宋" w:cs="仿宋"/>
          <w:sz w:val="28"/>
          <w:szCs w:val="28"/>
        </w:rPr>
        <w:t>、审计、</w:t>
      </w:r>
      <w:r>
        <w:rPr>
          <w:rFonts w:hint="eastAsia" w:ascii="仿宋" w:hAnsi="仿宋" w:eastAsia="仿宋" w:cs="仿宋"/>
          <w:color w:val="000000"/>
          <w:sz w:val="28"/>
          <w:szCs w:val="28"/>
        </w:rPr>
        <w:t>财政学</w:t>
      </w:r>
      <w:r>
        <w:rPr>
          <w:rFonts w:hint="eastAsia" w:ascii="仿宋" w:hAnsi="仿宋" w:eastAsia="仿宋" w:cs="仿宋"/>
          <w:sz w:val="28"/>
          <w:szCs w:val="28"/>
        </w:rPr>
        <w:t>、</w:t>
      </w:r>
      <w:r>
        <w:rPr>
          <w:rFonts w:hint="eastAsia" w:ascii="仿宋" w:hAnsi="仿宋" w:eastAsia="仿宋" w:cs="仿宋"/>
          <w:color w:val="000000"/>
          <w:sz w:val="28"/>
          <w:szCs w:val="28"/>
        </w:rPr>
        <w:t>金融学</w:t>
      </w:r>
      <w:r>
        <w:rPr>
          <w:rFonts w:hint="eastAsia" w:ascii="仿宋" w:hAnsi="仿宋" w:eastAsia="仿宋" w:cs="仿宋"/>
          <w:sz w:val="28"/>
          <w:szCs w:val="28"/>
        </w:rPr>
        <w:t>、税收学、</w:t>
      </w:r>
      <w:r>
        <w:rPr>
          <w:rFonts w:hint="eastAsia" w:ascii="仿宋" w:hAnsi="仿宋" w:eastAsia="仿宋" w:cs="仿宋"/>
          <w:color w:val="000000"/>
          <w:sz w:val="28"/>
          <w:szCs w:val="28"/>
        </w:rPr>
        <w:t>国际经济与贸易</w:t>
      </w:r>
      <w:r>
        <w:rPr>
          <w:rFonts w:hint="eastAsia" w:ascii="仿宋" w:hAnsi="仿宋" w:eastAsia="仿宋" w:cs="仿宋"/>
          <w:sz w:val="28"/>
          <w:szCs w:val="28"/>
        </w:rPr>
        <w:t>、</w:t>
      </w:r>
      <w:r>
        <w:rPr>
          <w:rFonts w:hint="eastAsia" w:ascii="仿宋" w:hAnsi="仿宋" w:eastAsia="仿宋" w:cs="仿宋"/>
          <w:color w:val="000000"/>
          <w:sz w:val="28"/>
          <w:szCs w:val="28"/>
        </w:rPr>
        <w:t>市场营销</w:t>
      </w:r>
      <w:r>
        <w:rPr>
          <w:rFonts w:hint="eastAsia" w:ascii="仿宋" w:hAnsi="仿宋" w:eastAsia="仿宋" w:cs="仿宋"/>
          <w:sz w:val="28"/>
          <w:szCs w:val="28"/>
        </w:rPr>
        <w:t>、国际商务、</w:t>
      </w:r>
      <w:r>
        <w:rPr>
          <w:rFonts w:hint="eastAsia" w:ascii="仿宋" w:hAnsi="仿宋" w:eastAsia="仿宋" w:cs="仿宋"/>
          <w:color w:val="000000"/>
          <w:sz w:val="28"/>
          <w:szCs w:val="28"/>
        </w:rPr>
        <w:t>人力资源管理、行政管理、计算机科学与技术、信息管理与信息系统、</w:t>
      </w:r>
      <w:r>
        <w:rPr>
          <w:rFonts w:hint="eastAsia" w:ascii="仿宋" w:hAnsi="仿宋" w:eastAsia="仿宋" w:cs="仿宋"/>
          <w:sz w:val="28"/>
          <w:szCs w:val="28"/>
        </w:rPr>
        <w:t>电子信息工程、电子商务、</w:t>
      </w:r>
      <w:r>
        <w:rPr>
          <w:rFonts w:hint="eastAsia" w:ascii="仿宋" w:hAnsi="仿宋" w:eastAsia="仿宋" w:cs="仿宋"/>
          <w:color w:val="000000"/>
          <w:sz w:val="28"/>
          <w:szCs w:val="28"/>
        </w:rPr>
        <w:t>英语、日语、翻译、工程管理、土地资源管理、房地产开发与管理、工程造价、投资理财</w:t>
      </w:r>
      <w:r>
        <w:rPr>
          <w:rFonts w:hint="eastAsia" w:ascii="仿宋" w:hAnsi="仿宋" w:eastAsia="仿宋" w:cs="仿宋"/>
          <w:sz w:val="28"/>
          <w:szCs w:val="28"/>
        </w:rPr>
        <w:t>等 2</w:t>
      </w:r>
      <w:r>
        <w:rPr>
          <w:rFonts w:hint="eastAsia" w:ascii="仿宋" w:hAnsi="仿宋" w:eastAsia="仿宋" w:cs="仿宋"/>
          <w:sz w:val="28"/>
          <w:szCs w:val="28"/>
          <w:lang w:val="en-US" w:eastAsia="zh-CN"/>
        </w:rPr>
        <w:t>5</w:t>
      </w:r>
      <w:r>
        <w:rPr>
          <w:rFonts w:hint="eastAsia" w:ascii="仿宋" w:hAnsi="仿宋" w:eastAsia="仿宋" w:cs="仿宋"/>
          <w:sz w:val="28"/>
          <w:szCs w:val="28"/>
        </w:rPr>
        <w:t>个学科专业门类，从总体上看，毕业生人数较多的专业集中在会计学（2</w:t>
      </w:r>
      <w:r>
        <w:rPr>
          <w:rFonts w:hint="eastAsia" w:ascii="仿宋" w:hAnsi="仿宋" w:eastAsia="仿宋" w:cs="仿宋"/>
          <w:sz w:val="28"/>
          <w:szCs w:val="28"/>
          <w:lang w:val="en-US" w:eastAsia="zh-CN"/>
        </w:rPr>
        <w:t>4.33</w:t>
      </w:r>
      <w:r>
        <w:rPr>
          <w:rFonts w:hint="eastAsia" w:ascii="仿宋" w:hAnsi="仿宋" w:eastAsia="仿宋" w:cs="仿宋"/>
          <w:sz w:val="28"/>
          <w:szCs w:val="28"/>
        </w:rPr>
        <w:t>%）、金融学（1</w:t>
      </w:r>
      <w:r>
        <w:rPr>
          <w:rFonts w:hint="eastAsia" w:ascii="仿宋" w:hAnsi="仿宋" w:eastAsia="仿宋" w:cs="仿宋"/>
          <w:sz w:val="28"/>
          <w:szCs w:val="28"/>
          <w:lang w:val="en-US" w:eastAsia="zh-CN"/>
        </w:rPr>
        <w:t>1.70</w:t>
      </w:r>
      <w:r>
        <w:rPr>
          <w:rFonts w:hint="eastAsia" w:ascii="仿宋" w:hAnsi="仿宋" w:eastAsia="仿宋" w:cs="仿宋"/>
          <w:sz w:val="28"/>
          <w:szCs w:val="28"/>
        </w:rPr>
        <w:t>%）、</w:t>
      </w:r>
      <w:r>
        <w:rPr>
          <w:rFonts w:hint="eastAsia" w:ascii="仿宋" w:hAnsi="仿宋" w:eastAsia="仿宋" w:cs="仿宋"/>
          <w:color w:val="000000"/>
          <w:kern w:val="0"/>
          <w:sz w:val="28"/>
          <w:szCs w:val="28"/>
        </w:rPr>
        <w:t>国际经济与贸易</w:t>
      </w:r>
      <w:r>
        <w:rPr>
          <w:rFonts w:hint="eastAsia" w:ascii="仿宋" w:hAnsi="仿宋" w:eastAsia="仿宋" w:cs="仿宋"/>
          <w:sz w:val="28"/>
          <w:szCs w:val="28"/>
        </w:rPr>
        <w:t>（5.</w:t>
      </w:r>
      <w:r>
        <w:rPr>
          <w:rFonts w:hint="eastAsia" w:ascii="仿宋" w:hAnsi="仿宋" w:eastAsia="仿宋" w:cs="仿宋"/>
          <w:sz w:val="28"/>
          <w:szCs w:val="28"/>
          <w:lang w:val="en-US" w:eastAsia="zh-CN"/>
        </w:rPr>
        <w:t>86</w:t>
      </w:r>
      <w:r>
        <w:rPr>
          <w:rFonts w:hint="eastAsia" w:ascii="仿宋" w:hAnsi="仿宋" w:eastAsia="仿宋" w:cs="仿宋"/>
          <w:sz w:val="28"/>
          <w:szCs w:val="28"/>
        </w:rPr>
        <w:t>%）、</w:t>
      </w:r>
      <w:r>
        <w:rPr>
          <w:rFonts w:hint="eastAsia" w:ascii="仿宋" w:hAnsi="仿宋" w:eastAsia="仿宋" w:cs="仿宋"/>
          <w:sz w:val="28"/>
          <w:szCs w:val="28"/>
          <w:lang w:eastAsia="zh-CN"/>
        </w:rPr>
        <w:t>财务管理</w:t>
      </w:r>
      <w:r>
        <w:rPr>
          <w:rFonts w:hint="eastAsia" w:ascii="仿宋" w:hAnsi="仿宋" w:eastAsia="仿宋" w:cs="仿宋"/>
          <w:sz w:val="28"/>
          <w:szCs w:val="28"/>
        </w:rPr>
        <w:t>（</w:t>
      </w:r>
      <w:r>
        <w:rPr>
          <w:rFonts w:hint="eastAsia" w:ascii="仿宋" w:hAnsi="仿宋" w:eastAsia="仿宋" w:cs="仿宋"/>
          <w:sz w:val="28"/>
          <w:szCs w:val="28"/>
          <w:lang w:val="en-US" w:eastAsia="zh-CN"/>
        </w:rPr>
        <w:t>5.35</w:t>
      </w:r>
      <w:r>
        <w:rPr>
          <w:rFonts w:hint="eastAsia" w:ascii="仿宋" w:hAnsi="仿宋" w:eastAsia="仿宋" w:cs="仿宋"/>
          <w:sz w:val="28"/>
          <w:szCs w:val="28"/>
        </w:rPr>
        <w:t>%）、</w:t>
      </w:r>
      <w:r>
        <w:rPr>
          <w:rFonts w:hint="eastAsia" w:ascii="仿宋" w:hAnsi="仿宋" w:eastAsia="仿宋" w:cs="仿宋"/>
          <w:sz w:val="28"/>
          <w:szCs w:val="28"/>
          <w:lang w:eastAsia="zh-CN"/>
        </w:rPr>
        <w:t>市场营销</w:t>
      </w:r>
      <w:r>
        <w:rPr>
          <w:rFonts w:hint="eastAsia" w:ascii="仿宋" w:hAnsi="仿宋" w:eastAsia="仿宋" w:cs="仿宋"/>
          <w:sz w:val="28"/>
          <w:szCs w:val="28"/>
        </w:rPr>
        <w:t>（</w:t>
      </w:r>
      <w:r>
        <w:rPr>
          <w:rFonts w:hint="eastAsia" w:ascii="仿宋" w:hAnsi="仿宋" w:eastAsia="仿宋" w:cs="仿宋"/>
          <w:sz w:val="28"/>
          <w:szCs w:val="28"/>
          <w:lang w:val="en-US" w:eastAsia="zh-CN"/>
        </w:rPr>
        <w:t>5.32</w:t>
      </w:r>
      <w:r>
        <w:rPr>
          <w:rFonts w:hint="eastAsia" w:ascii="仿宋" w:hAnsi="仿宋" w:eastAsia="仿宋" w:cs="仿宋"/>
          <w:sz w:val="28"/>
          <w:szCs w:val="28"/>
        </w:rPr>
        <w:t>%），毕业生对应学科专业具体情况见表 1-1。</w:t>
      </w:r>
    </w:p>
    <w:p>
      <w:pPr>
        <w:jc w:val="center"/>
        <w:rPr>
          <w:rFonts w:hint="eastAsia" w:ascii="仿宋" w:hAnsi="仿宋" w:eastAsia="仿宋" w:cs="仿宋"/>
          <w:b/>
          <w:sz w:val="30"/>
          <w:szCs w:val="30"/>
        </w:rPr>
      </w:pPr>
      <w:r>
        <w:rPr>
          <w:rFonts w:hint="eastAsia" w:ascii="仿宋" w:hAnsi="仿宋" w:eastAsia="仿宋" w:cs="仿宋"/>
          <w:b/>
          <w:sz w:val="30"/>
          <w:szCs w:val="30"/>
        </w:rPr>
        <w:t>表1-1  20</w:t>
      </w:r>
      <w:r>
        <w:rPr>
          <w:rFonts w:hint="eastAsia" w:ascii="仿宋" w:hAnsi="仿宋" w:eastAsia="仿宋" w:cs="仿宋"/>
          <w:b/>
          <w:sz w:val="30"/>
          <w:szCs w:val="30"/>
          <w:lang w:val="en-US" w:eastAsia="zh-CN"/>
        </w:rPr>
        <w:t>20</w:t>
      </w:r>
      <w:r>
        <w:rPr>
          <w:rFonts w:hint="eastAsia" w:ascii="仿宋" w:hAnsi="仿宋" w:eastAsia="仿宋" w:cs="仿宋"/>
          <w:b/>
          <w:sz w:val="30"/>
          <w:szCs w:val="30"/>
        </w:rPr>
        <w:t>届毕业生对应学科专业人数统计表</w:t>
      </w:r>
    </w:p>
    <w:tbl>
      <w:tblPr>
        <w:tblStyle w:val="18"/>
        <w:tblW w:w="8400" w:type="dxa"/>
        <w:tblInd w:w="0" w:type="dxa"/>
        <w:shd w:val="clear" w:color="auto" w:fill="auto"/>
        <w:tblLayout w:type="fixed"/>
        <w:tblCellMar>
          <w:top w:w="0" w:type="dxa"/>
          <w:left w:w="0" w:type="dxa"/>
          <w:bottom w:w="0" w:type="dxa"/>
          <w:right w:w="0" w:type="dxa"/>
        </w:tblCellMar>
      </w:tblPr>
      <w:tblGrid>
        <w:gridCol w:w="1758"/>
        <w:gridCol w:w="2702"/>
        <w:gridCol w:w="1720"/>
        <w:gridCol w:w="2220"/>
      </w:tblGrid>
      <w:tr>
        <w:tblPrEx>
          <w:shd w:val="clear" w:color="auto" w:fill="auto"/>
          <w:tblCellMar>
            <w:top w:w="0" w:type="dxa"/>
            <w:left w:w="0" w:type="dxa"/>
            <w:bottom w:w="0" w:type="dxa"/>
            <w:right w:w="0" w:type="dxa"/>
          </w:tblCellMar>
        </w:tblPrEx>
        <w:trPr>
          <w:trHeight w:val="403" w:hRule="atLeast"/>
          <w:tblHeader/>
        </w:trPr>
        <w:tc>
          <w:tcPr>
            <w:tcW w:w="1758" w:type="dxa"/>
            <w:tcBorders>
              <w:top w:val="single" w:color="auto" w:sz="4" w:space="0"/>
              <w:left w:val="single" w:color="auto" w:sz="4" w:space="0"/>
              <w:bottom w:val="single" w:color="auto" w:sz="4" w:space="0"/>
              <w:right w:val="single" w:color="auto" w:sz="4" w:space="0"/>
            </w:tcBorders>
            <w:shd w:val="clear" w:color="C0504D" w:fill="00B0F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学院名称</w:t>
            </w:r>
          </w:p>
        </w:tc>
        <w:tc>
          <w:tcPr>
            <w:tcW w:w="2702" w:type="dxa"/>
            <w:tcBorders>
              <w:top w:val="single" w:color="auto" w:sz="4" w:space="0"/>
              <w:left w:val="nil"/>
              <w:bottom w:val="single" w:color="auto" w:sz="4" w:space="0"/>
              <w:right w:val="single" w:color="auto" w:sz="4" w:space="0"/>
            </w:tcBorders>
            <w:shd w:val="clear" w:color="C0504D" w:fill="00B0F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专业名称</w:t>
            </w:r>
          </w:p>
        </w:tc>
        <w:tc>
          <w:tcPr>
            <w:tcW w:w="1720" w:type="dxa"/>
            <w:tcBorders>
              <w:top w:val="single" w:color="auto" w:sz="4" w:space="0"/>
              <w:left w:val="nil"/>
              <w:bottom w:val="single" w:color="auto" w:sz="4" w:space="0"/>
              <w:right w:val="single" w:color="auto" w:sz="4" w:space="0"/>
            </w:tcBorders>
            <w:shd w:val="clear" w:color="C0504D" w:fill="00B0F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毕业人数</w:t>
            </w:r>
          </w:p>
        </w:tc>
        <w:tc>
          <w:tcPr>
            <w:tcW w:w="2220" w:type="dxa"/>
            <w:tcBorders>
              <w:top w:val="single" w:color="auto" w:sz="4" w:space="0"/>
              <w:left w:val="nil"/>
              <w:bottom w:val="single" w:color="auto" w:sz="4" w:space="0"/>
              <w:right w:val="single" w:color="auto" w:sz="4" w:space="0"/>
            </w:tcBorders>
            <w:shd w:val="clear" w:color="C0504D" w:fill="00B0F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auto"/>
                <w:sz w:val="28"/>
                <w:szCs w:val="28"/>
                <w:u w:val="none"/>
              </w:rPr>
            </w:pPr>
            <w:r>
              <w:rPr>
                <w:rFonts w:hint="eastAsia" w:ascii="仿宋" w:hAnsi="仿宋" w:eastAsia="仿宋" w:cs="仿宋"/>
                <w:b/>
                <w:i w:val="0"/>
                <w:color w:val="auto"/>
                <w:kern w:val="0"/>
                <w:sz w:val="28"/>
                <w:szCs w:val="28"/>
                <w:u w:val="none"/>
                <w:lang w:val="en-US" w:eastAsia="zh-CN" w:bidi="ar"/>
              </w:rPr>
              <w:t>占总人数比例</w:t>
            </w:r>
          </w:p>
        </w:tc>
      </w:tr>
      <w:tr>
        <w:tblPrEx>
          <w:shd w:val="clear" w:color="auto" w:fill="auto"/>
          <w:tblCellMar>
            <w:top w:w="0" w:type="dxa"/>
            <w:left w:w="0" w:type="dxa"/>
            <w:bottom w:w="0" w:type="dxa"/>
            <w:right w:w="0" w:type="dxa"/>
          </w:tblCellMar>
        </w:tblPrEx>
        <w:trPr>
          <w:trHeight w:val="405" w:hRule="atLeast"/>
        </w:trPr>
        <w:tc>
          <w:tcPr>
            <w:tcW w:w="1758" w:type="dxa"/>
            <w:vMerge w:val="restart"/>
            <w:tcBorders>
              <w:top w:val="nil"/>
              <w:left w:val="single" w:color="auto" w:sz="4" w:space="0"/>
              <w:bottom w:val="single" w:color="000000" w:sz="4" w:space="0"/>
              <w:right w:val="single" w:color="auto" w:sz="4" w:space="0"/>
            </w:tcBorders>
            <w:shd w:val="clear" w:color="F2DDDC" w:fill="EEECE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经济学院</w:t>
            </w: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国际经济与贸易</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193</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5.86%</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F2DDDC" w:fill="EEECE1"/>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国际商务</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46</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1.40%</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F2DDDC" w:fill="EEECE1"/>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合计</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239</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7.26%</w:t>
            </w:r>
          </w:p>
        </w:tc>
      </w:tr>
      <w:tr>
        <w:tblPrEx>
          <w:tblCellMar>
            <w:top w:w="0" w:type="dxa"/>
            <w:left w:w="0" w:type="dxa"/>
            <w:bottom w:w="0" w:type="dxa"/>
            <w:right w:w="0" w:type="dxa"/>
          </w:tblCellMar>
        </w:tblPrEx>
        <w:trPr>
          <w:trHeight w:val="525" w:hRule="atLeast"/>
        </w:trPr>
        <w:tc>
          <w:tcPr>
            <w:tcW w:w="1758" w:type="dxa"/>
            <w:vMerge w:val="restart"/>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财政金融学院</w:t>
            </w: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财政学</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98</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2.98%</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金融学</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385</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11.70%</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税收学</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50</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1.52%</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合计</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533</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16.20%</w:t>
            </w:r>
          </w:p>
        </w:tc>
      </w:tr>
      <w:tr>
        <w:tblPrEx>
          <w:tblCellMar>
            <w:top w:w="0" w:type="dxa"/>
            <w:left w:w="0" w:type="dxa"/>
            <w:bottom w:w="0" w:type="dxa"/>
            <w:right w:w="0" w:type="dxa"/>
          </w:tblCellMar>
        </w:tblPrEx>
        <w:trPr>
          <w:trHeight w:val="405" w:hRule="atLeast"/>
        </w:trPr>
        <w:tc>
          <w:tcPr>
            <w:tcW w:w="1758" w:type="dxa"/>
            <w:vMerge w:val="restart"/>
            <w:tcBorders>
              <w:top w:val="nil"/>
              <w:left w:val="single" w:color="auto" w:sz="4" w:space="0"/>
              <w:bottom w:val="single" w:color="000000" w:sz="4" w:space="0"/>
              <w:right w:val="single" w:color="auto" w:sz="4" w:space="0"/>
            </w:tcBorders>
            <w:shd w:val="clear" w:color="000000" w:fill="EEECE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会计学院</w:t>
            </w: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会计学</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801</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24.33%</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000000" w:fill="EEECE1"/>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财务管理</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176</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5.35%</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000000" w:fill="EEECE1"/>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审计学</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94</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2.86%</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000000" w:fill="EEECE1"/>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合计</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1071</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32.54%</w:t>
            </w:r>
          </w:p>
        </w:tc>
      </w:tr>
      <w:tr>
        <w:tblPrEx>
          <w:tblCellMar>
            <w:top w:w="0" w:type="dxa"/>
            <w:left w:w="0" w:type="dxa"/>
            <w:bottom w:w="0" w:type="dxa"/>
            <w:right w:w="0" w:type="dxa"/>
          </w:tblCellMar>
        </w:tblPrEx>
        <w:trPr>
          <w:trHeight w:val="510" w:hRule="atLeast"/>
        </w:trPr>
        <w:tc>
          <w:tcPr>
            <w:tcW w:w="1758" w:type="dxa"/>
            <w:vMerge w:val="restart"/>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工程管理学院</w:t>
            </w: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房地产开发与管理</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40</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1.22%</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工程管理</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48</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1.46%</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工程造价</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148</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4.50%</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土地资源管理</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36</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1.09%</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合计</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272</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8.26%</w:t>
            </w:r>
          </w:p>
        </w:tc>
      </w:tr>
      <w:tr>
        <w:tblPrEx>
          <w:tblCellMar>
            <w:top w:w="0" w:type="dxa"/>
            <w:left w:w="0" w:type="dxa"/>
            <w:bottom w:w="0" w:type="dxa"/>
            <w:right w:w="0" w:type="dxa"/>
          </w:tblCellMar>
        </w:tblPrEx>
        <w:trPr>
          <w:trHeight w:val="450" w:hRule="atLeast"/>
        </w:trPr>
        <w:tc>
          <w:tcPr>
            <w:tcW w:w="1758" w:type="dxa"/>
            <w:vMerge w:val="restart"/>
            <w:tcBorders>
              <w:top w:val="nil"/>
              <w:left w:val="single" w:color="auto" w:sz="4" w:space="0"/>
              <w:bottom w:val="single" w:color="000000" w:sz="4" w:space="0"/>
              <w:right w:val="single" w:color="auto" w:sz="4" w:space="0"/>
            </w:tcBorders>
            <w:shd w:val="clear" w:color="F2DDDC" w:fill="EEECE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外国语学院</w:t>
            </w: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英语</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81</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2.46%</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F2DDDC" w:fill="EEECE1"/>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商务英语</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107</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3.25%</w:t>
            </w:r>
          </w:p>
        </w:tc>
      </w:tr>
      <w:tr>
        <w:tblPrEx>
          <w:tblCellMar>
            <w:top w:w="0" w:type="dxa"/>
            <w:left w:w="0" w:type="dxa"/>
            <w:bottom w:w="0" w:type="dxa"/>
            <w:right w:w="0" w:type="dxa"/>
          </w:tblCellMar>
        </w:tblPrEx>
        <w:trPr>
          <w:trHeight w:val="405" w:hRule="atLeast"/>
        </w:trPr>
        <w:tc>
          <w:tcPr>
            <w:tcW w:w="1758" w:type="dxa"/>
            <w:tcBorders>
              <w:top w:val="nil"/>
              <w:left w:val="single" w:color="auto" w:sz="4" w:space="0"/>
              <w:bottom w:val="single" w:color="000000" w:sz="4" w:space="0"/>
              <w:right w:val="single" w:color="auto" w:sz="4" w:space="0"/>
            </w:tcBorders>
            <w:shd w:val="clear" w:color="F2DDDC" w:fill="EEECE1"/>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翻译</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59</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1.79%</w:t>
            </w:r>
          </w:p>
        </w:tc>
      </w:tr>
      <w:tr>
        <w:tblPrEx>
          <w:tblCellMar>
            <w:top w:w="0" w:type="dxa"/>
            <w:left w:w="0" w:type="dxa"/>
            <w:bottom w:w="0" w:type="dxa"/>
            <w:right w:w="0" w:type="dxa"/>
          </w:tblCellMar>
        </w:tblPrEx>
        <w:trPr>
          <w:trHeight w:val="405" w:hRule="atLeast"/>
        </w:trPr>
        <w:tc>
          <w:tcPr>
            <w:tcW w:w="1758" w:type="dxa"/>
            <w:tcBorders>
              <w:top w:val="nil"/>
              <w:left w:val="single" w:color="auto" w:sz="4" w:space="0"/>
              <w:bottom w:val="single" w:color="000000" w:sz="4" w:space="0"/>
              <w:right w:val="single" w:color="auto" w:sz="4" w:space="0"/>
            </w:tcBorders>
            <w:shd w:val="clear" w:color="F2DDDC" w:fill="EEECE1"/>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日语</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61</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1.85%</w:t>
            </w:r>
          </w:p>
        </w:tc>
      </w:tr>
      <w:tr>
        <w:tblPrEx>
          <w:tblCellMar>
            <w:top w:w="0" w:type="dxa"/>
            <w:left w:w="0" w:type="dxa"/>
            <w:bottom w:w="0" w:type="dxa"/>
            <w:right w:w="0" w:type="dxa"/>
          </w:tblCellMar>
        </w:tblPrEx>
        <w:trPr>
          <w:trHeight w:val="405" w:hRule="atLeast"/>
        </w:trPr>
        <w:tc>
          <w:tcPr>
            <w:tcW w:w="1758" w:type="dxa"/>
            <w:tcBorders>
              <w:top w:val="nil"/>
              <w:left w:val="single" w:color="auto" w:sz="4" w:space="0"/>
              <w:bottom w:val="single" w:color="000000" w:sz="4" w:space="0"/>
              <w:right w:val="single" w:color="auto" w:sz="4" w:space="0"/>
            </w:tcBorders>
            <w:shd w:val="clear" w:color="F2DDDC" w:fill="EEECE1"/>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合计</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308</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9.36%</w:t>
            </w:r>
          </w:p>
        </w:tc>
      </w:tr>
      <w:tr>
        <w:tblPrEx>
          <w:tblCellMar>
            <w:top w:w="0" w:type="dxa"/>
            <w:left w:w="0" w:type="dxa"/>
            <w:bottom w:w="0" w:type="dxa"/>
            <w:right w:w="0" w:type="dxa"/>
          </w:tblCellMar>
        </w:tblPrEx>
        <w:trPr>
          <w:trHeight w:val="495" w:hRule="atLeast"/>
        </w:trPr>
        <w:tc>
          <w:tcPr>
            <w:tcW w:w="1758" w:type="dxa"/>
            <w:vMerge w:val="restart"/>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信息技术与管理学院</w:t>
            </w: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信息管理与信息系统</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45</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1.37%</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计算机科学与技术</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92</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2.79%</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电子商务</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97</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2.95%</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电子信息工程</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41</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1.25%</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合计</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275</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8.35%</w:t>
            </w:r>
          </w:p>
        </w:tc>
      </w:tr>
      <w:tr>
        <w:tblPrEx>
          <w:tblCellMar>
            <w:top w:w="0" w:type="dxa"/>
            <w:left w:w="0" w:type="dxa"/>
            <w:bottom w:w="0" w:type="dxa"/>
            <w:right w:w="0" w:type="dxa"/>
          </w:tblCellMar>
        </w:tblPrEx>
        <w:trPr>
          <w:trHeight w:val="420" w:hRule="atLeast"/>
        </w:trPr>
        <w:tc>
          <w:tcPr>
            <w:tcW w:w="1758" w:type="dxa"/>
            <w:vMerge w:val="restart"/>
            <w:tcBorders>
              <w:top w:val="nil"/>
              <w:left w:val="single" w:color="auto" w:sz="4" w:space="0"/>
              <w:bottom w:val="single" w:color="000000" w:sz="4" w:space="0"/>
              <w:right w:val="single" w:color="auto" w:sz="4" w:space="0"/>
            </w:tcBorders>
            <w:shd w:val="clear" w:color="F2DDDC" w:fill="EEECE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工商管理学院</w:t>
            </w: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市场营销</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175</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5.32%</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F2DDDC" w:fill="EEECE1"/>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物流管理</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90</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2.73%</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F2DDDC" w:fill="EEECE1"/>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人力资源管理</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134</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4.07%</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F2DDDC" w:fill="EEECE1"/>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合计</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399</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12.12%</w:t>
            </w:r>
          </w:p>
        </w:tc>
      </w:tr>
      <w:tr>
        <w:tblPrEx>
          <w:tblCellMar>
            <w:top w:w="0" w:type="dxa"/>
            <w:left w:w="0" w:type="dxa"/>
            <w:bottom w:w="0" w:type="dxa"/>
            <w:right w:w="0" w:type="dxa"/>
          </w:tblCellMar>
        </w:tblPrEx>
        <w:trPr>
          <w:trHeight w:val="495" w:hRule="atLeast"/>
        </w:trPr>
        <w:tc>
          <w:tcPr>
            <w:tcW w:w="1758" w:type="dxa"/>
            <w:vMerge w:val="restart"/>
            <w:tcBorders>
              <w:top w:val="nil"/>
              <w:left w:val="single" w:color="auto" w:sz="4" w:space="0"/>
              <w:bottom w:val="single" w:color="000000" w:sz="4" w:space="0"/>
              <w:right w:val="single" w:color="auto" w:sz="4" w:space="0"/>
            </w:tcBorders>
            <w:shd w:val="clear" w:color="F2DDDC"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厚生国际教育学院</w:t>
            </w: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会计学（中外合作）</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105</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3.19%</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F2DDDC" w:fill="FFFFFF"/>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合计</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105</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3.19%</w:t>
            </w:r>
          </w:p>
        </w:tc>
      </w:tr>
      <w:tr>
        <w:tblPrEx>
          <w:tblCellMar>
            <w:top w:w="0" w:type="dxa"/>
            <w:left w:w="0" w:type="dxa"/>
            <w:bottom w:w="0" w:type="dxa"/>
            <w:right w:w="0" w:type="dxa"/>
          </w:tblCellMar>
        </w:tblPrEx>
        <w:trPr>
          <w:trHeight w:val="465" w:hRule="atLeast"/>
        </w:trPr>
        <w:tc>
          <w:tcPr>
            <w:tcW w:w="1758" w:type="dxa"/>
            <w:vMerge w:val="restart"/>
            <w:tcBorders>
              <w:top w:val="nil"/>
              <w:left w:val="single" w:color="auto" w:sz="4" w:space="0"/>
              <w:bottom w:val="single" w:color="000000" w:sz="4" w:space="0"/>
              <w:right w:val="single" w:color="auto" w:sz="4" w:space="0"/>
            </w:tcBorders>
            <w:shd w:val="clear" w:color="F2DDDC" w:fill="EEECE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公共管理学院</w:t>
            </w:r>
          </w:p>
        </w:tc>
        <w:tc>
          <w:tcPr>
            <w:tcW w:w="2702"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行政管理</w:t>
            </w:r>
          </w:p>
        </w:tc>
        <w:tc>
          <w:tcPr>
            <w:tcW w:w="1720" w:type="dxa"/>
            <w:tcBorders>
              <w:top w:val="nil"/>
              <w:left w:val="nil"/>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90</w:t>
            </w:r>
          </w:p>
        </w:tc>
        <w:tc>
          <w:tcPr>
            <w:tcW w:w="2220" w:type="dxa"/>
            <w:tcBorders>
              <w:top w:val="nil"/>
              <w:left w:val="nil"/>
              <w:bottom w:val="single" w:color="auto" w:sz="4" w:space="0"/>
              <w:right w:val="single" w:color="auto" w:sz="4" w:space="0"/>
            </w:tcBorders>
            <w:shd w:val="clear" w:color="F2DDDC" w:fill="F2DDDC"/>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2.73%</w:t>
            </w:r>
          </w:p>
        </w:tc>
      </w:tr>
      <w:tr>
        <w:tblPrEx>
          <w:tblCellMar>
            <w:top w:w="0" w:type="dxa"/>
            <w:left w:w="0" w:type="dxa"/>
            <w:bottom w:w="0" w:type="dxa"/>
            <w:right w:w="0" w:type="dxa"/>
          </w:tblCellMar>
        </w:tblPrEx>
        <w:trPr>
          <w:trHeight w:val="405" w:hRule="atLeast"/>
        </w:trPr>
        <w:tc>
          <w:tcPr>
            <w:tcW w:w="1758" w:type="dxa"/>
            <w:vMerge w:val="continue"/>
            <w:tcBorders>
              <w:top w:val="nil"/>
              <w:left w:val="single" w:color="auto" w:sz="4" w:space="0"/>
              <w:bottom w:val="single" w:color="000000" w:sz="4" w:space="0"/>
              <w:right w:val="single" w:color="auto" w:sz="4" w:space="0"/>
            </w:tcBorders>
            <w:shd w:val="clear" w:color="F2DDDC" w:fill="EEECE1"/>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ind w:left="0" w:leftChars="0" w:right="0" w:rightChars="0"/>
              <w:jc w:val="center"/>
              <w:rPr>
                <w:rFonts w:hint="eastAsia" w:ascii="仿宋" w:hAnsi="仿宋" w:eastAsia="仿宋" w:cs="仿宋"/>
                <w:b/>
                <w:i w:val="0"/>
                <w:color w:val="000000"/>
                <w:sz w:val="28"/>
                <w:szCs w:val="28"/>
                <w:u w:val="none"/>
              </w:rPr>
            </w:pPr>
          </w:p>
        </w:tc>
        <w:tc>
          <w:tcPr>
            <w:tcW w:w="2702"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合计</w:t>
            </w:r>
          </w:p>
        </w:tc>
        <w:tc>
          <w:tcPr>
            <w:tcW w:w="17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90</w:t>
            </w:r>
          </w:p>
        </w:tc>
        <w:tc>
          <w:tcPr>
            <w:tcW w:w="222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2.73%</w:t>
            </w:r>
          </w:p>
        </w:tc>
      </w:tr>
    </w:tbl>
    <w:p>
      <w:pPr>
        <w:jc w:val="center"/>
        <w:rPr>
          <w:rFonts w:hint="eastAsia" w:ascii="仿宋" w:hAnsi="仿宋" w:eastAsia="仿宋" w:cs="仿宋"/>
          <w:b/>
          <w:sz w:val="30"/>
          <w:szCs w:val="30"/>
        </w:rPr>
      </w:pPr>
    </w:p>
    <w:p>
      <w:pPr>
        <w:rPr>
          <w:rFonts w:hint="eastAsia" w:ascii="仿宋" w:hAnsi="仿宋" w:eastAsia="仿宋" w:cs="仿宋"/>
        </w:rPr>
      </w:pPr>
      <w:bookmarkStart w:id="32" w:name="_Toc13618"/>
    </w:p>
    <w:p>
      <w:pPr>
        <w:rPr>
          <w:rFonts w:hint="eastAsia" w:ascii="仿宋" w:hAnsi="仿宋" w:eastAsia="仿宋" w:cs="仿宋"/>
          <w:color w:val="1F497D"/>
          <w:kern w:val="0"/>
          <w:sz w:val="32"/>
          <w:szCs w:val="32"/>
        </w:rPr>
      </w:pPr>
      <w:r>
        <w:rPr>
          <w:rFonts w:hint="eastAsia" w:ascii="仿宋" w:hAnsi="仿宋" w:eastAsia="仿宋" w:cs="仿宋"/>
          <w:color w:val="1F497D"/>
          <w:kern w:val="0"/>
          <w:sz w:val="32"/>
          <w:szCs w:val="32"/>
        </w:rPr>
        <w:br w:type="page"/>
      </w:r>
    </w:p>
    <w:p>
      <w:pPr>
        <w:pStyle w:val="3"/>
        <w:keepNext/>
        <w:keepLines/>
        <w:pageBreakBefore w:val="0"/>
        <w:widowControl w:val="0"/>
        <w:kinsoku/>
        <w:wordWrap/>
        <w:overflowPunct/>
        <w:topLinePunct w:val="0"/>
        <w:autoSpaceDE/>
        <w:autoSpaceDN/>
        <w:bidi w:val="0"/>
        <w:adjustRightInd/>
        <w:snapToGrid/>
        <w:spacing w:before="0" w:afterLines="100" w:line="579" w:lineRule="auto"/>
        <w:jc w:val="center"/>
        <w:textAlignment w:val="auto"/>
        <w:rPr>
          <w:rFonts w:hint="eastAsia" w:ascii="仿宋" w:hAnsi="仿宋" w:eastAsia="仿宋" w:cs="仿宋"/>
          <w:b w:val="0"/>
          <w:color w:val="1F497D"/>
          <w:kern w:val="0"/>
          <w:sz w:val="32"/>
          <w:szCs w:val="32"/>
        </w:rPr>
      </w:pPr>
      <w:bookmarkStart w:id="33" w:name="_Toc27398"/>
      <w:r>
        <w:rPr>
          <w:rFonts w:hint="eastAsia" w:ascii="仿宋" w:hAnsi="仿宋" w:eastAsia="仿宋" w:cs="仿宋"/>
          <w:color w:val="1F497D"/>
          <w:kern w:val="0"/>
          <w:sz w:val="32"/>
          <w:szCs w:val="32"/>
        </w:rPr>
        <w:t>第二部分  毕业生就业状况</w:t>
      </w:r>
      <w:bookmarkEnd w:id="32"/>
      <w:bookmarkEnd w:id="33"/>
    </w:p>
    <w:p>
      <w:pPr>
        <w:pStyle w:val="46"/>
        <w:keepNext w:val="0"/>
        <w:keepLines w:val="0"/>
        <w:pageBreakBefore w:val="0"/>
        <w:widowControl w:val="0"/>
        <w:kinsoku/>
        <w:wordWrap/>
        <w:overflowPunct/>
        <w:topLinePunct w:val="0"/>
        <w:autoSpaceDE/>
        <w:autoSpaceDN/>
        <w:bidi w:val="0"/>
        <w:adjustRightInd/>
        <w:snapToGrid/>
        <w:spacing w:before="157" w:beforeLines="50" w:after="157" w:afterLines="50"/>
        <w:ind w:firstLine="0" w:firstLineChars="0"/>
        <w:textAlignment w:val="auto"/>
        <w:outlineLvl w:val="1"/>
        <w:rPr>
          <w:rFonts w:hint="eastAsia" w:ascii="仿宋" w:hAnsi="仿宋" w:eastAsia="仿宋" w:cs="仿宋"/>
          <w:b/>
          <w:color w:val="1F497D"/>
          <w:sz w:val="32"/>
          <w:szCs w:val="32"/>
        </w:rPr>
      </w:pPr>
      <w:bookmarkStart w:id="34" w:name="_Toc437501609"/>
      <w:bookmarkStart w:id="35" w:name="_Toc437032034"/>
      <w:bookmarkStart w:id="36" w:name="_Toc25005"/>
      <w:bookmarkStart w:id="37" w:name="_Toc18898"/>
      <w:r>
        <w:rPr>
          <w:rFonts w:hint="eastAsia" w:ascii="仿宋" w:hAnsi="仿宋" w:eastAsia="仿宋" w:cs="仿宋"/>
          <w:b/>
          <w:color w:val="1F497D"/>
          <w:sz w:val="32"/>
          <w:szCs w:val="32"/>
        </w:rPr>
        <w:t>2.1</w:t>
      </w:r>
      <w:r>
        <w:rPr>
          <w:rFonts w:hint="eastAsia" w:ascii="仿宋" w:hAnsi="仿宋" w:eastAsia="仿宋" w:cs="仿宋"/>
          <w:b/>
          <w:color w:val="1F497D"/>
          <w:sz w:val="32"/>
          <w:szCs w:val="32"/>
          <w:lang w:val="en-US" w:eastAsia="zh-CN"/>
        </w:rPr>
        <w:t xml:space="preserve"> </w:t>
      </w:r>
      <w:r>
        <w:rPr>
          <w:rFonts w:hint="eastAsia" w:ascii="仿宋" w:hAnsi="仿宋" w:eastAsia="仿宋" w:cs="仿宋"/>
          <w:b/>
          <w:color w:val="1F497D"/>
          <w:sz w:val="32"/>
          <w:szCs w:val="32"/>
        </w:rPr>
        <w:t>整体就业率</w:t>
      </w:r>
      <w:bookmarkEnd w:id="34"/>
      <w:bookmarkEnd w:id="35"/>
      <w:bookmarkEnd w:id="36"/>
      <w:bookmarkEnd w:id="37"/>
    </w:p>
    <w:p>
      <w:pPr>
        <w:ind w:firstLine="57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20</w:t>
      </w:r>
      <w:r>
        <w:rPr>
          <w:rFonts w:hint="eastAsia" w:ascii="仿宋" w:hAnsi="仿宋" w:eastAsia="仿宋" w:cs="仿宋"/>
          <w:color w:val="000000"/>
          <w:kern w:val="0"/>
          <w:sz w:val="28"/>
          <w:szCs w:val="28"/>
          <w:lang w:val="en-US" w:eastAsia="zh-CN"/>
        </w:rPr>
        <w:t>20</w:t>
      </w:r>
      <w:r>
        <w:rPr>
          <w:rFonts w:hint="eastAsia" w:ascii="仿宋" w:hAnsi="仿宋" w:eastAsia="仿宋" w:cs="仿宋"/>
          <w:color w:val="000000"/>
          <w:kern w:val="0"/>
          <w:sz w:val="28"/>
          <w:szCs w:val="28"/>
        </w:rPr>
        <w:t>年，我校本科毕业生共计</w:t>
      </w:r>
      <w:r>
        <w:rPr>
          <w:rFonts w:hint="eastAsia" w:ascii="仿宋" w:hAnsi="仿宋" w:eastAsia="仿宋" w:cs="仿宋"/>
          <w:color w:val="000000"/>
          <w:kern w:val="0"/>
          <w:sz w:val="28"/>
          <w:szCs w:val="28"/>
          <w:lang w:val="en-US" w:eastAsia="zh-CN"/>
        </w:rPr>
        <w:t>3292</w:t>
      </w:r>
      <w:r>
        <w:rPr>
          <w:rFonts w:hint="eastAsia" w:ascii="仿宋" w:hAnsi="仿宋" w:eastAsia="仿宋" w:cs="仿宋"/>
          <w:color w:val="000000"/>
          <w:kern w:val="0"/>
          <w:sz w:val="28"/>
          <w:szCs w:val="28"/>
        </w:rPr>
        <w:t>人，截止8月31日，已就业人数</w:t>
      </w:r>
      <w:r>
        <w:rPr>
          <w:rFonts w:hint="eastAsia" w:ascii="仿宋" w:hAnsi="仿宋" w:eastAsia="仿宋" w:cs="仿宋"/>
          <w:color w:val="000000"/>
          <w:kern w:val="0"/>
          <w:sz w:val="28"/>
          <w:szCs w:val="28"/>
          <w:lang w:val="en-US" w:eastAsia="zh-CN"/>
        </w:rPr>
        <w:t>2730</w:t>
      </w:r>
      <w:r>
        <w:rPr>
          <w:rFonts w:hint="eastAsia" w:ascii="仿宋" w:hAnsi="仿宋" w:eastAsia="仿宋" w:cs="仿宋"/>
          <w:color w:val="000000"/>
          <w:kern w:val="0"/>
          <w:sz w:val="28"/>
          <w:szCs w:val="28"/>
        </w:rPr>
        <w:t>人，初次就业率为</w:t>
      </w:r>
      <w:r>
        <w:rPr>
          <w:rFonts w:hint="eastAsia" w:ascii="仿宋" w:hAnsi="仿宋" w:eastAsia="仿宋" w:cs="仿宋"/>
          <w:color w:val="000000"/>
          <w:kern w:val="0"/>
          <w:sz w:val="28"/>
          <w:szCs w:val="28"/>
          <w:lang w:val="en-US" w:eastAsia="zh-CN"/>
        </w:rPr>
        <w:t>82.93</w:t>
      </w:r>
      <w:r>
        <w:rPr>
          <w:rFonts w:hint="eastAsia" w:ascii="仿宋" w:hAnsi="仿宋" w:eastAsia="仿宋" w:cs="仿宋"/>
          <w:color w:val="000000"/>
          <w:kern w:val="0"/>
          <w:sz w:val="28"/>
          <w:szCs w:val="28"/>
        </w:rPr>
        <w:t>%，其中，</w:t>
      </w:r>
      <w:r>
        <w:rPr>
          <w:rFonts w:hint="eastAsia" w:ascii="仿宋" w:hAnsi="仿宋" w:eastAsia="仿宋" w:cs="仿宋"/>
          <w:color w:val="000000"/>
          <w:kern w:val="0"/>
          <w:sz w:val="28"/>
          <w:szCs w:val="28"/>
          <w:lang w:eastAsia="zh-CN"/>
        </w:rPr>
        <w:t>签订协议和劳动合同就业</w:t>
      </w:r>
      <w:r>
        <w:rPr>
          <w:rFonts w:hint="eastAsia" w:ascii="仿宋" w:hAnsi="仿宋" w:eastAsia="仿宋" w:cs="仿宋"/>
          <w:color w:val="000000"/>
          <w:kern w:val="0"/>
          <w:sz w:val="28"/>
          <w:szCs w:val="28"/>
        </w:rPr>
        <w:t>2</w:t>
      </w:r>
      <w:r>
        <w:rPr>
          <w:rFonts w:hint="eastAsia" w:ascii="仿宋" w:hAnsi="仿宋" w:eastAsia="仿宋" w:cs="仿宋"/>
          <w:color w:val="000000"/>
          <w:kern w:val="0"/>
          <w:sz w:val="28"/>
          <w:szCs w:val="28"/>
          <w:lang w:val="en-US" w:eastAsia="zh-CN"/>
        </w:rPr>
        <w:t>102</w:t>
      </w:r>
      <w:r>
        <w:rPr>
          <w:rFonts w:hint="eastAsia" w:ascii="仿宋" w:hAnsi="仿宋" w:eastAsia="仿宋" w:cs="仿宋"/>
          <w:color w:val="000000"/>
          <w:kern w:val="0"/>
          <w:sz w:val="28"/>
          <w:szCs w:val="28"/>
        </w:rPr>
        <w:t>人，占</w:t>
      </w:r>
      <w:r>
        <w:rPr>
          <w:rFonts w:hint="eastAsia" w:ascii="仿宋" w:hAnsi="仿宋" w:eastAsia="仿宋" w:cs="仿宋"/>
          <w:color w:val="000000"/>
          <w:kern w:val="0"/>
          <w:sz w:val="28"/>
          <w:szCs w:val="28"/>
          <w:lang w:val="en-US" w:eastAsia="zh-CN"/>
        </w:rPr>
        <w:t>63.85</w:t>
      </w:r>
      <w:r>
        <w:rPr>
          <w:rFonts w:hint="eastAsia" w:ascii="仿宋" w:hAnsi="仿宋" w:eastAsia="仿宋" w:cs="仿宋"/>
          <w:color w:val="000000"/>
          <w:kern w:val="0"/>
          <w:sz w:val="28"/>
          <w:szCs w:val="28"/>
        </w:rPr>
        <w:t>%；国家与地方基层项目就业1</w:t>
      </w:r>
      <w:r>
        <w:rPr>
          <w:rFonts w:hint="eastAsia" w:ascii="仿宋" w:hAnsi="仿宋" w:eastAsia="仿宋" w:cs="仿宋"/>
          <w:color w:val="000000"/>
          <w:kern w:val="0"/>
          <w:sz w:val="28"/>
          <w:szCs w:val="28"/>
          <w:lang w:val="en-US" w:eastAsia="zh-CN"/>
        </w:rPr>
        <w:t>0</w:t>
      </w:r>
      <w:r>
        <w:rPr>
          <w:rFonts w:hint="eastAsia" w:ascii="仿宋" w:hAnsi="仿宋" w:eastAsia="仿宋" w:cs="仿宋"/>
          <w:color w:val="000000"/>
          <w:kern w:val="0"/>
          <w:sz w:val="28"/>
          <w:szCs w:val="28"/>
        </w:rPr>
        <w:t>人，占0.</w:t>
      </w:r>
      <w:r>
        <w:rPr>
          <w:rFonts w:hint="eastAsia" w:ascii="仿宋" w:hAnsi="仿宋" w:eastAsia="仿宋" w:cs="仿宋"/>
          <w:color w:val="000000"/>
          <w:kern w:val="0"/>
          <w:sz w:val="28"/>
          <w:szCs w:val="28"/>
          <w:lang w:val="en-US" w:eastAsia="zh-CN"/>
        </w:rPr>
        <w:t>30</w:t>
      </w:r>
      <w:r>
        <w:rPr>
          <w:rFonts w:hint="eastAsia" w:ascii="仿宋" w:hAnsi="仿宋" w:eastAsia="仿宋" w:cs="仿宋"/>
          <w:color w:val="000000"/>
          <w:kern w:val="0"/>
          <w:sz w:val="28"/>
          <w:szCs w:val="28"/>
        </w:rPr>
        <w:t>%；灵活就业</w:t>
      </w:r>
      <w:r>
        <w:rPr>
          <w:rFonts w:hint="eastAsia" w:ascii="仿宋" w:hAnsi="仿宋" w:eastAsia="仿宋" w:cs="仿宋"/>
          <w:color w:val="000000"/>
          <w:kern w:val="0"/>
          <w:sz w:val="28"/>
          <w:szCs w:val="28"/>
          <w:lang w:val="en-US" w:eastAsia="zh-CN"/>
        </w:rPr>
        <w:t>326</w:t>
      </w:r>
      <w:r>
        <w:rPr>
          <w:rFonts w:hint="eastAsia" w:ascii="仿宋" w:hAnsi="仿宋" w:eastAsia="仿宋" w:cs="仿宋"/>
          <w:color w:val="000000"/>
          <w:kern w:val="0"/>
          <w:sz w:val="28"/>
          <w:szCs w:val="28"/>
        </w:rPr>
        <w:t>人，占</w:t>
      </w:r>
      <w:r>
        <w:rPr>
          <w:rFonts w:hint="eastAsia" w:ascii="仿宋" w:hAnsi="仿宋" w:eastAsia="仿宋" w:cs="仿宋"/>
          <w:color w:val="000000"/>
          <w:kern w:val="0"/>
          <w:sz w:val="28"/>
          <w:szCs w:val="28"/>
          <w:lang w:val="en-US" w:eastAsia="zh-CN"/>
        </w:rPr>
        <w:t>9.9</w:t>
      </w:r>
      <w:r>
        <w:rPr>
          <w:rFonts w:hint="eastAsia" w:ascii="仿宋" w:hAnsi="仿宋" w:eastAsia="仿宋" w:cs="仿宋"/>
          <w:color w:val="000000"/>
          <w:kern w:val="0"/>
          <w:sz w:val="28"/>
          <w:szCs w:val="28"/>
        </w:rPr>
        <w:t>0%；</w:t>
      </w:r>
      <w:r>
        <w:rPr>
          <w:rFonts w:hint="eastAsia" w:ascii="仿宋" w:hAnsi="仿宋" w:eastAsia="仿宋" w:cs="仿宋"/>
          <w:color w:val="000000"/>
          <w:kern w:val="0"/>
          <w:sz w:val="28"/>
          <w:szCs w:val="28"/>
          <w:lang w:eastAsia="zh-CN"/>
        </w:rPr>
        <w:t>升学（含出国深造）</w:t>
      </w:r>
      <w:r>
        <w:rPr>
          <w:rFonts w:hint="eastAsia" w:ascii="仿宋" w:hAnsi="仿宋" w:eastAsia="仿宋" w:cs="仿宋"/>
          <w:color w:val="000000"/>
          <w:kern w:val="0"/>
          <w:sz w:val="28"/>
          <w:szCs w:val="28"/>
          <w:lang w:val="en-US" w:eastAsia="zh-CN"/>
        </w:rPr>
        <w:t>280</w:t>
      </w:r>
      <w:r>
        <w:rPr>
          <w:rFonts w:hint="eastAsia" w:ascii="仿宋" w:hAnsi="仿宋" w:eastAsia="仿宋" w:cs="仿宋"/>
          <w:color w:val="000000"/>
          <w:kern w:val="0"/>
          <w:sz w:val="28"/>
          <w:szCs w:val="28"/>
        </w:rPr>
        <w:t>人，占</w:t>
      </w:r>
      <w:r>
        <w:rPr>
          <w:rFonts w:hint="eastAsia" w:ascii="仿宋" w:hAnsi="仿宋" w:eastAsia="仿宋" w:cs="仿宋"/>
          <w:color w:val="000000"/>
          <w:kern w:val="0"/>
          <w:sz w:val="28"/>
          <w:szCs w:val="28"/>
          <w:lang w:val="en-US" w:eastAsia="zh-CN"/>
        </w:rPr>
        <w:t>8</w:t>
      </w:r>
      <w:r>
        <w:rPr>
          <w:rFonts w:hint="eastAsia" w:ascii="仿宋" w:hAnsi="仿宋" w:eastAsia="仿宋" w:cs="仿宋"/>
          <w:color w:val="000000"/>
          <w:kern w:val="0"/>
          <w:sz w:val="28"/>
          <w:szCs w:val="28"/>
        </w:rPr>
        <w:t>.51%；登记自主创业</w:t>
      </w:r>
      <w:r>
        <w:rPr>
          <w:rFonts w:hint="eastAsia" w:ascii="仿宋" w:hAnsi="仿宋" w:eastAsia="仿宋" w:cs="仿宋"/>
          <w:color w:val="000000"/>
          <w:kern w:val="0"/>
          <w:sz w:val="28"/>
          <w:szCs w:val="28"/>
          <w:lang w:val="en-US" w:eastAsia="zh-CN"/>
        </w:rPr>
        <w:t>12</w:t>
      </w:r>
      <w:r>
        <w:rPr>
          <w:rFonts w:hint="eastAsia" w:ascii="仿宋" w:hAnsi="仿宋" w:eastAsia="仿宋" w:cs="仿宋"/>
          <w:color w:val="000000"/>
          <w:kern w:val="0"/>
          <w:sz w:val="28"/>
          <w:szCs w:val="28"/>
        </w:rPr>
        <w:t>人，占0.</w:t>
      </w:r>
      <w:r>
        <w:rPr>
          <w:rFonts w:hint="eastAsia" w:ascii="仿宋" w:hAnsi="仿宋" w:eastAsia="仿宋" w:cs="仿宋"/>
          <w:color w:val="000000"/>
          <w:kern w:val="0"/>
          <w:sz w:val="28"/>
          <w:szCs w:val="28"/>
          <w:lang w:val="en-US" w:eastAsia="zh-CN"/>
        </w:rPr>
        <w:t>36</w:t>
      </w:r>
      <w:r>
        <w:rPr>
          <w:rFonts w:hint="eastAsia" w:ascii="仿宋" w:hAnsi="仿宋" w:eastAsia="仿宋" w:cs="仿宋"/>
          <w:color w:val="000000"/>
          <w:kern w:val="0"/>
          <w:sz w:val="28"/>
          <w:szCs w:val="28"/>
        </w:rPr>
        <w:t>%；另有61</w:t>
      </w:r>
      <w:r>
        <w:rPr>
          <w:rFonts w:hint="eastAsia" w:ascii="仿宋" w:hAnsi="仿宋" w:eastAsia="仿宋" w:cs="仿宋"/>
          <w:color w:val="000000"/>
          <w:kern w:val="0"/>
          <w:sz w:val="28"/>
          <w:szCs w:val="28"/>
          <w:lang w:val="en-US" w:eastAsia="zh-CN"/>
        </w:rPr>
        <w:t>2</w:t>
      </w:r>
      <w:r>
        <w:rPr>
          <w:rFonts w:hint="eastAsia" w:ascii="仿宋" w:hAnsi="仿宋" w:eastAsia="仿宋" w:cs="仿宋"/>
          <w:color w:val="000000"/>
          <w:kern w:val="0"/>
          <w:sz w:val="28"/>
          <w:szCs w:val="28"/>
        </w:rPr>
        <w:t>人暂未就业，占</w:t>
      </w:r>
      <w:r>
        <w:rPr>
          <w:rFonts w:hint="eastAsia" w:ascii="仿宋" w:hAnsi="仿宋" w:eastAsia="仿宋" w:cs="仿宋"/>
          <w:color w:val="000000"/>
          <w:kern w:val="0"/>
          <w:sz w:val="28"/>
          <w:szCs w:val="28"/>
          <w:lang w:val="en-US" w:eastAsia="zh-CN"/>
        </w:rPr>
        <w:t>17.07%；其中，有就业意愿，未就业518人，占15.74%；无就业意愿，暂不就业44人，占1.34%</w:t>
      </w:r>
      <w:r>
        <w:rPr>
          <w:rFonts w:hint="eastAsia" w:ascii="仿宋" w:hAnsi="仿宋" w:eastAsia="仿宋" w:cs="仿宋"/>
          <w:color w:val="000000"/>
          <w:kern w:val="0"/>
          <w:sz w:val="28"/>
          <w:szCs w:val="28"/>
        </w:rPr>
        <w:t>，具体情况</w:t>
      </w:r>
      <w:r>
        <w:rPr>
          <w:rFonts w:hint="eastAsia" w:ascii="仿宋" w:hAnsi="仿宋" w:eastAsia="仿宋" w:cs="仿宋"/>
          <w:sz w:val="28"/>
          <w:szCs w:val="28"/>
        </w:rPr>
        <w:t>详见表 2-1。</w:t>
      </w:r>
    </w:p>
    <w:p>
      <w:pPr>
        <w:widowControl/>
        <w:jc w:val="center"/>
        <w:rPr>
          <w:rFonts w:hint="eastAsia" w:ascii="仿宋" w:hAnsi="仿宋" w:eastAsia="仿宋" w:cs="仿宋"/>
          <w:b/>
          <w:sz w:val="30"/>
          <w:szCs w:val="30"/>
        </w:rPr>
      </w:pPr>
      <w:r>
        <w:rPr>
          <w:rFonts w:hint="eastAsia" w:ascii="仿宋" w:hAnsi="仿宋" w:eastAsia="仿宋" w:cs="仿宋"/>
          <w:b/>
          <w:sz w:val="30"/>
          <w:szCs w:val="30"/>
        </w:rPr>
        <w:t>表2-1  20</w:t>
      </w:r>
      <w:r>
        <w:rPr>
          <w:rFonts w:hint="eastAsia" w:ascii="仿宋" w:hAnsi="仿宋" w:eastAsia="仿宋" w:cs="仿宋"/>
          <w:b/>
          <w:sz w:val="30"/>
          <w:szCs w:val="30"/>
          <w:lang w:val="en-US" w:eastAsia="zh-CN"/>
        </w:rPr>
        <w:t>20</w:t>
      </w:r>
      <w:r>
        <w:rPr>
          <w:rFonts w:hint="eastAsia" w:ascii="仿宋" w:hAnsi="仿宋" w:eastAsia="仿宋" w:cs="仿宋"/>
          <w:b/>
          <w:sz w:val="30"/>
          <w:szCs w:val="30"/>
        </w:rPr>
        <w:t>届毕业生初次整体就业率统计表</w:t>
      </w:r>
    </w:p>
    <w:tbl>
      <w:tblPr>
        <w:tblStyle w:val="18"/>
        <w:tblW w:w="9400" w:type="dxa"/>
        <w:jc w:val="center"/>
        <w:shd w:val="clear" w:color="auto" w:fill="auto"/>
        <w:tblLayout w:type="fixed"/>
        <w:tblCellMar>
          <w:top w:w="0" w:type="dxa"/>
          <w:left w:w="0" w:type="dxa"/>
          <w:bottom w:w="0" w:type="dxa"/>
          <w:right w:w="0" w:type="dxa"/>
        </w:tblCellMar>
      </w:tblPr>
      <w:tblGrid>
        <w:gridCol w:w="740"/>
        <w:gridCol w:w="800"/>
        <w:gridCol w:w="1000"/>
        <w:gridCol w:w="960"/>
        <w:gridCol w:w="900"/>
        <w:gridCol w:w="900"/>
        <w:gridCol w:w="1020"/>
        <w:gridCol w:w="1040"/>
        <w:gridCol w:w="900"/>
        <w:gridCol w:w="1140"/>
      </w:tblGrid>
      <w:tr>
        <w:tblPrEx>
          <w:tblCellMar>
            <w:top w:w="0" w:type="dxa"/>
            <w:left w:w="0" w:type="dxa"/>
            <w:bottom w:w="0" w:type="dxa"/>
            <w:right w:w="0" w:type="dxa"/>
          </w:tblCellMar>
        </w:tblPrEx>
        <w:trPr>
          <w:trHeight w:val="375" w:hRule="atLeast"/>
          <w:jc w:val="center"/>
        </w:trPr>
        <w:tc>
          <w:tcPr>
            <w:tcW w:w="740" w:type="dxa"/>
            <w:vMerge w:val="restart"/>
            <w:tcBorders>
              <w:top w:val="single" w:color="8064A2" w:sz="8" w:space="0"/>
              <w:left w:val="single" w:color="8064A2" w:sz="8" w:space="0"/>
              <w:right w:val="single" w:color="8064A2" w:sz="8" w:space="0"/>
            </w:tcBorders>
            <w:shd w:val="clear" w:color="000000" w:fill="B2A1C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8"/>
                <w:szCs w:val="28"/>
                <w:u w:val="none"/>
                <w:lang w:val="en-US" w:eastAsia="zh-CN" w:bidi="ar"/>
              </w:rPr>
            </w:pPr>
            <w:r>
              <w:rPr>
                <w:rFonts w:hint="eastAsia" w:ascii="仿宋" w:hAnsi="仿宋" w:eastAsia="仿宋" w:cs="仿宋"/>
                <w:b/>
                <w:i w:val="0"/>
                <w:color w:val="000000"/>
                <w:kern w:val="0"/>
                <w:sz w:val="28"/>
                <w:szCs w:val="28"/>
                <w:u w:val="none"/>
                <w:lang w:val="en-US" w:eastAsia="zh-CN" w:bidi="ar"/>
              </w:rPr>
              <w:t>学</w:t>
            </w:r>
          </w:p>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b/>
                <w:i w:val="0"/>
                <w:color w:val="000000"/>
                <w:kern w:val="0"/>
                <w:sz w:val="28"/>
                <w:szCs w:val="28"/>
                <w:u w:val="none"/>
                <w:lang w:val="en-US" w:eastAsia="zh-CN" w:bidi="ar"/>
              </w:rPr>
              <w:t>历</w:t>
            </w:r>
          </w:p>
        </w:tc>
        <w:tc>
          <w:tcPr>
            <w:tcW w:w="800" w:type="dxa"/>
            <w:vMerge w:val="restart"/>
            <w:tcBorders>
              <w:top w:val="single" w:color="8064A2" w:sz="8" w:space="0"/>
              <w:left w:val="nil"/>
              <w:right w:val="single" w:color="8064A2" w:sz="8" w:space="0"/>
            </w:tcBorders>
            <w:shd w:val="clear" w:color="000000" w:fill="B2A1C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8"/>
                <w:szCs w:val="28"/>
                <w:u w:val="none"/>
                <w:lang w:val="en-US" w:eastAsia="zh-CN" w:bidi="ar"/>
              </w:rPr>
            </w:pPr>
            <w:r>
              <w:rPr>
                <w:rFonts w:hint="eastAsia" w:ascii="仿宋" w:hAnsi="仿宋" w:eastAsia="仿宋" w:cs="仿宋"/>
                <w:b/>
                <w:i w:val="0"/>
                <w:color w:val="000000"/>
                <w:kern w:val="0"/>
                <w:sz w:val="28"/>
                <w:szCs w:val="28"/>
                <w:u w:val="none"/>
                <w:lang w:val="en-US" w:eastAsia="zh-CN" w:bidi="ar"/>
              </w:rPr>
              <w:t>总</w:t>
            </w:r>
          </w:p>
          <w:p>
            <w:pPr>
              <w:keepNext w:val="0"/>
              <w:keepLines w:val="0"/>
              <w:widowControl/>
              <w:suppressLineNumbers w:val="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人</w:t>
            </w:r>
          </w:p>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b/>
                <w:i w:val="0"/>
                <w:color w:val="000000"/>
                <w:kern w:val="0"/>
                <w:sz w:val="28"/>
                <w:szCs w:val="28"/>
                <w:u w:val="none"/>
                <w:lang w:val="en-US" w:eastAsia="zh-CN" w:bidi="ar"/>
              </w:rPr>
              <w:t>数</w:t>
            </w:r>
          </w:p>
        </w:tc>
        <w:tc>
          <w:tcPr>
            <w:tcW w:w="3760" w:type="dxa"/>
            <w:gridSpan w:val="4"/>
            <w:tcBorders>
              <w:top w:val="single" w:color="8064A2" w:sz="8" w:space="0"/>
              <w:left w:val="single" w:color="8064A2" w:sz="8" w:space="0"/>
              <w:bottom w:val="single" w:color="8064A2" w:sz="8" w:space="0"/>
              <w:right w:val="single" w:color="8064A2" w:sz="8" w:space="0"/>
            </w:tcBorders>
            <w:shd w:val="clear" w:color="000000" w:fill="B2A1C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就业人数（1888）</w:t>
            </w:r>
          </w:p>
        </w:tc>
        <w:tc>
          <w:tcPr>
            <w:tcW w:w="1020" w:type="dxa"/>
            <w:vMerge w:val="restart"/>
            <w:tcBorders>
              <w:top w:val="single" w:color="8064A2" w:sz="8" w:space="0"/>
              <w:left w:val="single" w:color="8064A2" w:sz="8" w:space="0"/>
              <w:bottom w:val="single" w:color="8064A2" w:sz="8" w:space="0"/>
              <w:right w:val="single" w:color="8064A2" w:sz="8" w:space="0"/>
            </w:tcBorders>
            <w:shd w:val="clear" w:color="000000" w:fill="B2A1C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升学（含出国深造）</w:t>
            </w:r>
          </w:p>
        </w:tc>
        <w:tc>
          <w:tcPr>
            <w:tcW w:w="1040" w:type="dxa"/>
            <w:vMerge w:val="restart"/>
            <w:tcBorders>
              <w:top w:val="single" w:color="8064A2" w:sz="8" w:space="0"/>
              <w:left w:val="single" w:color="8064A2" w:sz="8" w:space="0"/>
              <w:bottom w:val="single" w:color="CF7B79" w:sz="8" w:space="0"/>
              <w:right w:val="single" w:color="8064A2" w:sz="8" w:space="0"/>
            </w:tcBorders>
            <w:shd w:val="clear" w:color="000000" w:fill="B2A1C7"/>
            <w:tcMar>
              <w:top w:w="15" w:type="dxa"/>
              <w:left w:w="15" w:type="dxa"/>
              <w:right w:w="15" w:type="dxa"/>
            </w:tcMar>
            <w:vAlign w:val="top"/>
          </w:tcPr>
          <w:p>
            <w:pPr>
              <w:keepNext w:val="0"/>
              <w:keepLines w:val="0"/>
              <w:widowControl/>
              <w:suppressLineNumbers w:val="0"/>
              <w:jc w:val="center"/>
              <w:textAlignment w:val="top"/>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待就业（有就业意愿未就业）</w:t>
            </w:r>
          </w:p>
        </w:tc>
        <w:tc>
          <w:tcPr>
            <w:tcW w:w="900" w:type="dxa"/>
            <w:vMerge w:val="restart"/>
            <w:tcBorders>
              <w:top w:val="single" w:color="8064A2" w:sz="8" w:space="0"/>
              <w:left w:val="single" w:color="8064A2" w:sz="8" w:space="0"/>
              <w:bottom w:val="single" w:color="8064A2" w:sz="8" w:space="0"/>
              <w:right w:val="single" w:color="8064A2" w:sz="8" w:space="0"/>
            </w:tcBorders>
            <w:shd w:val="clear" w:color="000000" w:fill="B2A1C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暂不就业(无就业意愿）</w:t>
            </w:r>
          </w:p>
        </w:tc>
        <w:tc>
          <w:tcPr>
            <w:tcW w:w="1140" w:type="dxa"/>
            <w:vMerge w:val="restart"/>
            <w:tcBorders>
              <w:top w:val="single" w:color="8064A2" w:sz="8" w:space="0"/>
              <w:left w:val="nil"/>
              <w:right w:val="single" w:color="8064A2" w:sz="8" w:space="0"/>
            </w:tcBorders>
            <w:shd w:val="clear" w:color="000000" w:fill="B2A1C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8"/>
                <w:szCs w:val="28"/>
                <w:u w:val="none"/>
                <w:lang w:val="en-US" w:eastAsia="zh-CN" w:bidi="ar"/>
              </w:rPr>
            </w:pPr>
            <w:r>
              <w:rPr>
                <w:rFonts w:hint="eastAsia" w:ascii="仿宋" w:hAnsi="仿宋" w:eastAsia="仿宋" w:cs="仿宋"/>
                <w:b/>
                <w:i w:val="0"/>
                <w:color w:val="000000"/>
                <w:kern w:val="0"/>
                <w:sz w:val="28"/>
                <w:szCs w:val="28"/>
                <w:u w:val="none"/>
                <w:lang w:val="en-US" w:eastAsia="zh-CN" w:bidi="ar"/>
              </w:rPr>
              <w:t>就业率</w:t>
            </w:r>
          </w:p>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b/>
                <w:i w:val="0"/>
                <w:color w:val="000000"/>
                <w:kern w:val="0"/>
                <w:sz w:val="28"/>
                <w:szCs w:val="28"/>
                <w:u w:val="none"/>
                <w:lang w:val="en-US" w:eastAsia="zh-CN" w:bidi="ar"/>
              </w:rPr>
              <w:t>(8月31日)</w:t>
            </w:r>
          </w:p>
        </w:tc>
      </w:tr>
      <w:tr>
        <w:tblPrEx>
          <w:tblCellMar>
            <w:top w:w="0" w:type="dxa"/>
            <w:left w:w="0" w:type="dxa"/>
            <w:bottom w:w="0" w:type="dxa"/>
            <w:right w:w="0" w:type="dxa"/>
          </w:tblCellMar>
        </w:tblPrEx>
        <w:trPr>
          <w:trHeight w:val="1963" w:hRule="atLeast"/>
          <w:jc w:val="center"/>
        </w:trPr>
        <w:tc>
          <w:tcPr>
            <w:tcW w:w="740" w:type="dxa"/>
            <w:vMerge w:val="continue"/>
            <w:tcBorders>
              <w:left w:val="single" w:color="8064A2" w:sz="8" w:space="0"/>
              <w:right w:val="single" w:color="8064A2" w:sz="8" w:space="0"/>
            </w:tcBorders>
            <w:shd w:val="clear" w:color="000000" w:fill="B2A1C7"/>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p>
        </w:tc>
        <w:tc>
          <w:tcPr>
            <w:tcW w:w="800" w:type="dxa"/>
            <w:vMerge w:val="continue"/>
            <w:tcBorders>
              <w:left w:val="nil"/>
              <w:right w:val="single" w:color="8064A2" w:sz="8" w:space="0"/>
            </w:tcBorders>
            <w:shd w:val="clear" w:color="000000" w:fill="B2A1C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8"/>
                <w:szCs w:val="28"/>
                <w:u w:val="none"/>
              </w:rPr>
            </w:pPr>
          </w:p>
        </w:tc>
        <w:tc>
          <w:tcPr>
            <w:tcW w:w="1000" w:type="dxa"/>
            <w:tcBorders>
              <w:top w:val="nil"/>
              <w:left w:val="single" w:color="8064A2" w:sz="8" w:space="0"/>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签约就业</w:t>
            </w:r>
          </w:p>
        </w:tc>
        <w:tc>
          <w:tcPr>
            <w:tcW w:w="960" w:type="dxa"/>
            <w:tcBorders>
              <w:top w:val="nil"/>
              <w:left w:val="single" w:color="8064A2" w:sz="8" w:space="0"/>
              <w:bottom w:val="single" w:color="auto" w:sz="4"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灵活就业</w:t>
            </w:r>
          </w:p>
        </w:tc>
        <w:tc>
          <w:tcPr>
            <w:tcW w:w="900" w:type="dxa"/>
            <w:tcBorders>
              <w:top w:val="nil"/>
              <w:left w:val="nil"/>
              <w:bottom w:val="single" w:color="auto" w:sz="4"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8"/>
                <w:szCs w:val="28"/>
                <w:u w:val="none"/>
                <w:lang w:val="en-US" w:eastAsia="zh-CN" w:bidi="ar"/>
              </w:rPr>
            </w:pPr>
            <w:r>
              <w:rPr>
                <w:rFonts w:hint="eastAsia" w:ascii="仿宋" w:hAnsi="仿宋" w:eastAsia="仿宋" w:cs="仿宋"/>
                <w:i w:val="0"/>
                <w:color w:val="000000"/>
                <w:kern w:val="0"/>
                <w:sz w:val="28"/>
                <w:szCs w:val="28"/>
                <w:u w:val="none"/>
                <w:lang w:val="en-US" w:eastAsia="zh-CN" w:bidi="ar"/>
              </w:rPr>
              <w:t>自主</w:t>
            </w:r>
          </w:p>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创业</w:t>
            </w:r>
          </w:p>
        </w:tc>
        <w:tc>
          <w:tcPr>
            <w:tcW w:w="900" w:type="dxa"/>
            <w:tcBorders>
              <w:top w:val="nil"/>
              <w:left w:val="single" w:color="8064A2" w:sz="8" w:space="0"/>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国家、地方项目</w:t>
            </w:r>
          </w:p>
        </w:tc>
        <w:tc>
          <w:tcPr>
            <w:tcW w:w="1020" w:type="dxa"/>
            <w:vMerge w:val="continue"/>
            <w:tcBorders>
              <w:top w:val="single" w:color="8064A2" w:sz="8" w:space="0"/>
              <w:left w:val="single" w:color="8064A2" w:sz="8" w:space="0"/>
              <w:bottom w:val="single" w:color="8064A2" w:sz="8" w:space="0"/>
              <w:right w:val="single" w:color="8064A2" w:sz="8" w:space="0"/>
            </w:tcBorders>
            <w:shd w:val="clear" w:color="000000" w:fill="B2A1C7"/>
            <w:tcMar>
              <w:top w:w="15" w:type="dxa"/>
              <w:left w:w="15" w:type="dxa"/>
              <w:right w:w="15" w:type="dxa"/>
            </w:tcMar>
            <w:vAlign w:val="center"/>
          </w:tcPr>
          <w:p>
            <w:pPr>
              <w:jc w:val="center"/>
              <w:rPr>
                <w:rFonts w:hint="eastAsia" w:ascii="仿宋" w:hAnsi="仿宋" w:eastAsia="仿宋" w:cs="仿宋"/>
                <w:b/>
                <w:i w:val="0"/>
                <w:color w:val="000000"/>
                <w:sz w:val="28"/>
                <w:szCs w:val="28"/>
                <w:u w:val="none"/>
              </w:rPr>
            </w:pPr>
          </w:p>
        </w:tc>
        <w:tc>
          <w:tcPr>
            <w:tcW w:w="1040" w:type="dxa"/>
            <w:vMerge w:val="continue"/>
            <w:tcBorders>
              <w:top w:val="single" w:color="8064A2" w:sz="8" w:space="0"/>
              <w:left w:val="single" w:color="8064A2" w:sz="8" w:space="0"/>
              <w:bottom w:val="single" w:color="CF7B79" w:sz="8" w:space="0"/>
              <w:right w:val="single" w:color="8064A2" w:sz="8" w:space="0"/>
            </w:tcBorders>
            <w:shd w:val="clear" w:color="000000" w:fill="B2A1C7"/>
            <w:tcMar>
              <w:top w:w="15" w:type="dxa"/>
              <w:left w:w="15" w:type="dxa"/>
              <w:right w:w="15" w:type="dxa"/>
            </w:tcMar>
            <w:vAlign w:val="top"/>
          </w:tcPr>
          <w:p>
            <w:pPr>
              <w:jc w:val="center"/>
              <w:rPr>
                <w:rFonts w:hint="eastAsia" w:ascii="仿宋" w:hAnsi="仿宋" w:eastAsia="仿宋" w:cs="仿宋"/>
                <w:b/>
                <w:i w:val="0"/>
                <w:color w:val="000000"/>
                <w:sz w:val="28"/>
                <w:szCs w:val="28"/>
                <w:u w:val="none"/>
              </w:rPr>
            </w:pPr>
          </w:p>
        </w:tc>
        <w:tc>
          <w:tcPr>
            <w:tcW w:w="900" w:type="dxa"/>
            <w:vMerge w:val="continue"/>
            <w:tcBorders>
              <w:top w:val="single" w:color="8064A2" w:sz="8" w:space="0"/>
              <w:left w:val="single" w:color="8064A2" w:sz="8" w:space="0"/>
              <w:bottom w:val="single" w:color="8064A2" w:sz="8" w:space="0"/>
              <w:right w:val="single" w:color="8064A2" w:sz="8" w:space="0"/>
            </w:tcBorders>
            <w:shd w:val="clear" w:color="000000" w:fill="B2A1C7"/>
            <w:tcMar>
              <w:top w:w="15" w:type="dxa"/>
              <w:left w:w="15" w:type="dxa"/>
              <w:right w:w="15" w:type="dxa"/>
            </w:tcMar>
            <w:vAlign w:val="center"/>
          </w:tcPr>
          <w:p>
            <w:pPr>
              <w:jc w:val="center"/>
              <w:rPr>
                <w:rFonts w:hint="eastAsia" w:ascii="仿宋" w:hAnsi="仿宋" w:eastAsia="仿宋" w:cs="仿宋"/>
                <w:b/>
                <w:i w:val="0"/>
                <w:color w:val="000000"/>
                <w:sz w:val="28"/>
                <w:szCs w:val="28"/>
                <w:u w:val="none"/>
              </w:rPr>
            </w:pPr>
          </w:p>
        </w:tc>
        <w:tc>
          <w:tcPr>
            <w:tcW w:w="1140" w:type="dxa"/>
            <w:vMerge w:val="continue"/>
            <w:tcBorders>
              <w:left w:val="nil"/>
              <w:right w:val="single" w:color="8064A2" w:sz="8" w:space="0"/>
            </w:tcBorders>
            <w:shd w:val="clear" w:color="000000" w:fill="B2A1C7"/>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8"/>
                <w:szCs w:val="28"/>
                <w:u w:val="none"/>
              </w:rPr>
            </w:pPr>
          </w:p>
        </w:tc>
      </w:tr>
      <w:tr>
        <w:tblPrEx>
          <w:tblCellMar>
            <w:top w:w="0" w:type="dxa"/>
            <w:left w:w="0" w:type="dxa"/>
            <w:bottom w:w="0" w:type="dxa"/>
            <w:right w:w="0" w:type="dxa"/>
          </w:tblCellMar>
        </w:tblPrEx>
        <w:trPr>
          <w:trHeight w:val="645" w:hRule="atLeast"/>
          <w:jc w:val="center"/>
        </w:trPr>
        <w:tc>
          <w:tcPr>
            <w:tcW w:w="740" w:type="dxa"/>
            <w:tcBorders>
              <w:top w:val="nil"/>
              <w:left w:val="single" w:color="8064A2" w:sz="8" w:space="0"/>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本科</w:t>
            </w:r>
          </w:p>
        </w:tc>
        <w:tc>
          <w:tcPr>
            <w:tcW w:w="800" w:type="dxa"/>
            <w:tcBorders>
              <w:top w:val="nil"/>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3292</w:t>
            </w:r>
          </w:p>
        </w:tc>
        <w:tc>
          <w:tcPr>
            <w:tcW w:w="1000" w:type="dxa"/>
            <w:tcBorders>
              <w:top w:val="nil"/>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lang w:val="en-US"/>
              </w:rPr>
            </w:pPr>
            <w:r>
              <w:rPr>
                <w:rFonts w:hint="eastAsia" w:ascii="仿宋" w:hAnsi="仿宋" w:eastAsia="仿宋" w:cs="仿宋"/>
                <w:i w:val="0"/>
                <w:color w:val="000000"/>
                <w:kern w:val="0"/>
                <w:sz w:val="28"/>
                <w:szCs w:val="28"/>
                <w:u w:val="none"/>
                <w:lang w:val="en-US" w:eastAsia="zh-CN" w:bidi="ar"/>
              </w:rPr>
              <w:t>2102</w:t>
            </w:r>
          </w:p>
        </w:tc>
        <w:tc>
          <w:tcPr>
            <w:tcW w:w="960" w:type="dxa"/>
            <w:tcBorders>
              <w:top w:val="single" w:color="auto" w:sz="4" w:space="0"/>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326</w:t>
            </w:r>
          </w:p>
        </w:tc>
        <w:tc>
          <w:tcPr>
            <w:tcW w:w="900" w:type="dxa"/>
            <w:tcBorders>
              <w:top w:val="single" w:color="auto" w:sz="4" w:space="0"/>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12</w:t>
            </w:r>
          </w:p>
        </w:tc>
        <w:tc>
          <w:tcPr>
            <w:tcW w:w="900" w:type="dxa"/>
            <w:tcBorders>
              <w:top w:val="nil"/>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lang w:val="en-US"/>
              </w:rPr>
            </w:pPr>
            <w:r>
              <w:rPr>
                <w:rFonts w:hint="eastAsia" w:ascii="仿宋" w:hAnsi="仿宋" w:eastAsia="仿宋" w:cs="仿宋"/>
                <w:i w:val="0"/>
                <w:color w:val="000000"/>
                <w:kern w:val="0"/>
                <w:sz w:val="28"/>
                <w:szCs w:val="28"/>
                <w:u w:val="none"/>
                <w:lang w:val="en-US" w:eastAsia="zh-CN" w:bidi="ar"/>
              </w:rPr>
              <w:t>10</w:t>
            </w:r>
          </w:p>
        </w:tc>
        <w:tc>
          <w:tcPr>
            <w:tcW w:w="1020" w:type="dxa"/>
            <w:tcBorders>
              <w:top w:val="nil"/>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280</w:t>
            </w:r>
          </w:p>
        </w:tc>
        <w:tc>
          <w:tcPr>
            <w:tcW w:w="1040" w:type="dxa"/>
            <w:tcBorders>
              <w:top w:val="nil"/>
              <w:left w:val="nil"/>
              <w:bottom w:val="single" w:color="8064A2" w:sz="8" w:space="0"/>
              <w:right w:val="single" w:color="8064A2" w:sz="8" w:space="0"/>
            </w:tcBorders>
            <w:shd w:val="clear" w:color="000000" w:fill="D8D3E0"/>
            <w:tcMar>
              <w:top w:w="15" w:type="dxa"/>
              <w:left w:w="15" w:type="dxa"/>
              <w:right w:w="15" w:type="dxa"/>
            </w:tcMar>
            <w:vAlign w:val="top"/>
          </w:tcPr>
          <w:p>
            <w:pPr>
              <w:keepNext w:val="0"/>
              <w:keepLines w:val="0"/>
              <w:widowControl/>
              <w:suppressLineNumbers w:val="0"/>
              <w:jc w:val="center"/>
              <w:textAlignment w:val="top"/>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518</w:t>
            </w:r>
          </w:p>
        </w:tc>
        <w:tc>
          <w:tcPr>
            <w:tcW w:w="900" w:type="dxa"/>
            <w:tcBorders>
              <w:top w:val="nil"/>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44</w:t>
            </w:r>
          </w:p>
        </w:tc>
        <w:tc>
          <w:tcPr>
            <w:tcW w:w="1140" w:type="dxa"/>
            <w:tcBorders>
              <w:top w:val="nil"/>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2730</w:t>
            </w:r>
          </w:p>
        </w:tc>
      </w:tr>
      <w:tr>
        <w:tblPrEx>
          <w:tblCellMar>
            <w:top w:w="0" w:type="dxa"/>
            <w:left w:w="0" w:type="dxa"/>
            <w:bottom w:w="0" w:type="dxa"/>
            <w:right w:w="0" w:type="dxa"/>
          </w:tblCellMar>
        </w:tblPrEx>
        <w:trPr>
          <w:trHeight w:val="615" w:hRule="atLeast"/>
          <w:jc w:val="center"/>
        </w:trPr>
        <w:tc>
          <w:tcPr>
            <w:tcW w:w="740" w:type="dxa"/>
            <w:tcBorders>
              <w:top w:val="nil"/>
              <w:left w:val="single" w:color="8064A2" w:sz="8" w:space="0"/>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8"/>
                <w:szCs w:val="28"/>
                <w:u w:val="none"/>
              </w:rPr>
            </w:pPr>
            <w:r>
              <w:rPr>
                <w:rFonts w:hint="eastAsia" w:ascii="仿宋" w:hAnsi="仿宋" w:eastAsia="仿宋" w:cs="仿宋"/>
                <w:b/>
                <w:i w:val="0"/>
                <w:color w:val="000000"/>
                <w:kern w:val="0"/>
                <w:sz w:val="28"/>
                <w:szCs w:val="28"/>
                <w:u w:val="none"/>
                <w:lang w:val="en-US" w:eastAsia="zh-CN" w:bidi="ar"/>
              </w:rPr>
              <w:t>比例</w:t>
            </w:r>
          </w:p>
        </w:tc>
        <w:tc>
          <w:tcPr>
            <w:tcW w:w="800" w:type="dxa"/>
            <w:tcBorders>
              <w:top w:val="nil"/>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100%</w:t>
            </w:r>
          </w:p>
        </w:tc>
        <w:tc>
          <w:tcPr>
            <w:tcW w:w="1000" w:type="dxa"/>
            <w:tcBorders>
              <w:top w:val="nil"/>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63.85%</w:t>
            </w:r>
          </w:p>
        </w:tc>
        <w:tc>
          <w:tcPr>
            <w:tcW w:w="960" w:type="dxa"/>
            <w:tcBorders>
              <w:top w:val="nil"/>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9.90%</w:t>
            </w:r>
          </w:p>
        </w:tc>
        <w:tc>
          <w:tcPr>
            <w:tcW w:w="900" w:type="dxa"/>
            <w:tcBorders>
              <w:top w:val="nil"/>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0.36%</w:t>
            </w:r>
          </w:p>
        </w:tc>
        <w:tc>
          <w:tcPr>
            <w:tcW w:w="900" w:type="dxa"/>
            <w:tcBorders>
              <w:top w:val="nil"/>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0.30%</w:t>
            </w:r>
          </w:p>
        </w:tc>
        <w:tc>
          <w:tcPr>
            <w:tcW w:w="1020" w:type="dxa"/>
            <w:tcBorders>
              <w:top w:val="nil"/>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8.51%</w:t>
            </w:r>
          </w:p>
        </w:tc>
        <w:tc>
          <w:tcPr>
            <w:tcW w:w="1040" w:type="dxa"/>
            <w:tcBorders>
              <w:top w:val="nil"/>
              <w:left w:val="nil"/>
              <w:bottom w:val="single" w:color="8064A2" w:sz="8" w:space="0"/>
              <w:right w:val="single" w:color="8064A2" w:sz="8" w:space="0"/>
            </w:tcBorders>
            <w:shd w:val="clear" w:color="000000" w:fill="D8D3E0"/>
            <w:tcMar>
              <w:top w:w="15" w:type="dxa"/>
              <w:left w:w="15" w:type="dxa"/>
              <w:right w:w="15" w:type="dxa"/>
            </w:tcMar>
            <w:vAlign w:val="top"/>
          </w:tcPr>
          <w:p>
            <w:pPr>
              <w:keepNext w:val="0"/>
              <w:keepLines w:val="0"/>
              <w:widowControl/>
              <w:suppressLineNumbers w:val="0"/>
              <w:jc w:val="center"/>
              <w:textAlignment w:val="top"/>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15.74%</w:t>
            </w:r>
          </w:p>
        </w:tc>
        <w:tc>
          <w:tcPr>
            <w:tcW w:w="900" w:type="dxa"/>
            <w:tcBorders>
              <w:top w:val="nil"/>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1.34%</w:t>
            </w:r>
          </w:p>
        </w:tc>
        <w:tc>
          <w:tcPr>
            <w:tcW w:w="1140" w:type="dxa"/>
            <w:tcBorders>
              <w:top w:val="nil"/>
              <w:left w:val="nil"/>
              <w:bottom w:val="single" w:color="8064A2" w:sz="8" w:space="0"/>
              <w:right w:val="single" w:color="8064A2" w:sz="8" w:space="0"/>
            </w:tcBorders>
            <w:shd w:val="clear" w:color="000000" w:fill="D8D3E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82.93%</w:t>
            </w:r>
          </w:p>
        </w:tc>
      </w:tr>
    </w:tbl>
    <w:p>
      <w:pPr>
        <w:pStyle w:val="46"/>
        <w:keepNext w:val="0"/>
        <w:keepLines w:val="0"/>
        <w:pageBreakBefore w:val="0"/>
        <w:widowControl w:val="0"/>
        <w:kinsoku/>
        <w:wordWrap/>
        <w:overflowPunct/>
        <w:topLinePunct w:val="0"/>
        <w:autoSpaceDE/>
        <w:autoSpaceDN/>
        <w:bidi w:val="0"/>
        <w:adjustRightInd/>
        <w:snapToGrid/>
        <w:spacing w:before="157" w:beforeLines="50" w:after="157" w:afterLines="50"/>
        <w:ind w:firstLine="0" w:firstLineChars="0"/>
        <w:textAlignment w:val="auto"/>
        <w:outlineLvl w:val="1"/>
        <w:rPr>
          <w:rFonts w:hint="eastAsia" w:ascii="仿宋" w:hAnsi="仿宋" w:eastAsia="仿宋" w:cs="仿宋"/>
          <w:b/>
          <w:color w:val="1F497D"/>
          <w:sz w:val="32"/>
          <w:szCs w:val="32"/>
        </w:rPr>
      </w:pPr>
      <w:bookmarkStart w:id="38" w:name="_Toc12422"/>
      <w:bookmarkStart w:id="39" w:name="_Toc10182"/>
      <w:r>
        <w:rPr>
          <w:rFonts w:hint="eastAsia" w:ascii="仿宋" w:hAnsi="仿宋" w:eastAsia="仿宋" w:cs="仿宋"/>
          <w:b/>
          <w:color w:val="1F497D"/>
          <w:sz w:val="32"/>
          <w:szCs w:val="32"/>
        </w:rPr>
        <w:t>2.2 毕业去向</w:t>
      </w:r>
      <w:bookmarkEnd w:id="38"/>
      <w:bookmarkEnd w:id="39"/>
    </w:p>
    <w:p>
      <w:pPr>
        <w:pStyle w:val="5"/>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仿宋" w:hAnsi="仿宋" w:eastAsia="仿宋" w:cs="仿宋"/>
          <w:b w:val="0"/>
          <w:color w:val="1F497D"/>
          <w:sz w:val="28"/>
          <w:szCs w:val="28"/>
        </w:rPr>
      </w:pPr>
      <w:bookmarkStart w:id="40" w:name="_Toc22999"/>
      <w:bookmarkStart w:id="41" w:name="_Toc7892"/>
      <w:r>
        <w:rPr>
          <w:rFonts w:hint="eastAsia" w:ascii="仿宋" w:hAnsi="仿宋" w:eastAsia="仿宋" w:cs="仿宋"/>
          <w:color w:val="1F497D"/>
          <w:sz w:val="28"/>
          <w:szCs w:val="28"/>
        </w:rPr>
        <w:t>2.2.１</w:t>
      </w:r>
      <w:r>
        <w:rPr>
          <w:rFonts w:hint="eastAsia" w:ascii="仿宋" w:hAnsi="仿宋" w:eastAsia="仿宋" w:cs="仿宋"/>
          <w:color w:val="1F497D"/>
          <w:sz w:val="28"/>
          <w:szCs w:val="28"/>
          <w:lang w:eastAsia="zh-CN"/>
        </w:rPr>
        <w:t>各二级学院</w:t>
      </w:r>
      <w:r>
        <w:rPr>
          <w:rFonts w:hint="eastAsia" w:ascii="仿宋" w:hAnsi="仿宋" w:eastAsia="仿宋" w:cs="仿宋"/>
          <w:color w:val="1F497D"/>
          <w:sz w:val="28"/>
          <w:szCs w:val="28"/>
        </w:rPr>
        <w:t>毕业生就业</w:t>
      </w:r>
      <w:bookmarkEnd w:id="40"/>
      <w:r>
        <w:rPr>
          <w:rFonts w:hint="eastAsia" w:ascii="仿宋" w:hAnsi="仿宋" w:eastAsia="仿宋" w:cs="仿宋"/>
          <w:color w:val="1F497D"/>
          <w:sz w:val="28"/>
          <w:szCs w:val="28"/>
        </w:rPr>
        <w:t>状况</w:t>
      </w:r>
      <w:bookmarkEnd w:id="41"/>
    </w:p>
    <w:p>
      <w:pPr>
        <w:ind w:firstLine="548" w:firstLineChars="196"/>
        <w:rPr>
          <w:rFonts w:hint="eastAsia" w:ascii="仿宋" w:hAnsi="仿宋" w:eastAsia="仿宋" w:cs="仿宋"/>
          <w:sz w:val="28"/>
          <w:szCs w:val="28"/>
        </w:rPr>
      </w:pPr>
      <w:r>
        <w:rPr>
          <w:rFonts w:hint="eastAsia" w:ascii="仿宋" w:hAnsi="仿宋" w:eastAsia="仿宋" w:cs="仿宋"/>
          <w:sz w:val="28"/>
          <w:szCs w:val="28"/>
        </w:rPr>
        <w:t>我校20</w:t>
      </w:r>
      <w:r>
        <w:rPr>
          <w:rFonts w:hint="eastAsia" w:ascii="仿宋" w:hAnsi="仿宋" w:eastAsia="仿宋" w:cs="仿宋"/>
          <w:sz w:val="28"/>
          <w:szCs w:val="28"/>
          <w:lang w:val="en-US" w:eastAsia="zh-CN"/>
        </w:rPr>
        <w:t>20</w:t>
      </w:r>
      <w:r>
        <w:rPr>
          <w:rFonts w:hint="eastAsia" w:ascii="仿宋" w:hAnsi="仿宋" w:eastAsia="仿宋" w:cs="仿宋"/>
          <w:sz w:val="28"/>
          <w:szCs w:val="28"/>
        </w:rPr>
        <w:t>届毕业生分布在</w:t>
      </w:r>
      <w:r>
        <w:rPr>
          <w:rFonts w:hint="eastAsia" w:ascii="仿宋" w:hAnsi="仿宋" w:eastAsia="仿宋" w:cs="仿宋"/>
          <w:sz w:val="28"/>
          <w:szCs w:val="28"/>
          <w:lang w:val="en-US" w:eastAsia="zh-CN"/>
        </w:rPr>
        <w:t>9</w:t>
      </w:r>
      <w:r>
        <w:rPr>
          <w:rFonts w:hint="eastAsia" w:ascii="仿宋" w:hAnsi="仿宋" w:eastAsia="仿宋" w:cs="仿宋"/>
          <w:sz w:val="28"/>
          <w:szCs w:val="28"/>
        </w:rPr>
        <w:t>个二级</w:t>
      </w:r>
      <w:r>
        <w:rPr>
          <w:rFonts w:hint="eastAsia" w:ascii="仿宋" w:hAnsi="仿宋" w:eastAsia="仿宋" w:cs="仿宋"/>
          <w:sz w:val="28"/>
          <w:szCs w:val="28"/>
          <w:lang w:eastAsia="zh-CN"/>
        </w:rPr>
        <w:t>学</w:t>
      </w:r>
      <w:r>
        <w:rPr>
          <w:rFonts w:hint="eastAsia" w:ascii="仿宋" w:hAnsi="仿宋" w:eastAsia="仿宋" w:cs="仿宋"/>
          <w:sz w:val="28"/>
          <w:szCs w:val="28"/>
        </w:rPr>
        <w:t>院。其中，</w:t>
      </w:r>
      <w:r>
        <w:rPr>
          <w:rFonts w:hint="eastAsia" w:ascii="仿宋" w:hAnsi="仿宋" w:eastAsia="仿宋" w:cs="仿宋"/>
          <w:sz w:val="28"/>
          <w:szCs w:val="28"/>
          <w:lang w:eastAsia="zh-CN"/>
        </w:rPr>
        <w:t>经济学院、工商管理学院</w:t>
      </w:r>
      <w:r>
        <w:rPr>
          <w:rFonts w:hint="eastAsia" w:ascii="仿宋" w:hAnsi="仿宋" w:eastAsia="仿宋" w:cs="仿宋"/>
          <w:sz w:val="28"/>
          <w:szCs w:val="28"/>
        </w:rPr>
        <w:t>和外国语学院</w:t>
      </w:r>
      <w:r>
        <w:rPr>
          <w:rFonts w:hint="eastAsia" w:ascii="仿宋" w:hAnsi="仿宋" w:eastAsia="仿宋" w:cs="仿宋"/>
          <w:sz w:val="28"/>
          <w:szCs w:val="28"/>
          <w:lang w:eastAsia="zh-CN"/>
        </w:rPr>
        <w:t>等</w:t>
      </w:r>
      <w:r>
        <w:rPr>
          <w:rFonts w:hint="eastAsia" w:ascii="仿宋" w:hAnsi="仿宋" w:eastAsia="仿宋" w:cs="仿宋"/>
          <w:sz w:val="28"/>
          <w:szCs w:val="28"/>
          <w:lang w:val="en-US" w:eastAsia="zh-CN"/>
        </w:rPr>
        <w:t>3</w:t>
      </w:r>
      <w:r>
        <w:rPr>
          <w:rFonts w:hint="eastAsia" w:ascii="仿宋" w:hAnsi="仿宋" w:eastAsia="仿宋" w:cs="仿宋"/>
          <w:sz w:val="28"/>
          <w:szCs w:val="28"/>
        </w:rPr>
        <w:t>个二级学院毕业生就业率达到8</w:t>
      </w:r>
      <w:r>
        <w:rPr>
          <w:rFonts w:hint="eastAsia" w:ascii="仿宋" w:hAnsi="仿宋" w:eastAsia="仿宋" w:cs="仿宋"/>
          <w:sz w:val="28"/>
          <w:szCs w:val="28"/>
          <w:lang w:val="en-US" w:eastAsia="zh-CN"/>
        </w:rPr>
        <w:t>5</w:t>
      </w:r>
      <w:r>
        <w:rPr>
          <w:rFonts w:hint="eastAsia" w:ascii="仿宋" w:hAnsi="仿宋" w:eastAsia="仿宋" w:cs="仿宋"/>
          <w:sz w:val="28"/>
          <w:szCs w:val="28"/>
        </w:rPr>
        <w:t>%以上，具体情况详见表2-2。</w:t>
      </w:r>
    </w:p>
    <w:p>
      <w:pPr>
        <w:jc w:val="center"/>
        <w:rPr>
          <w:rFonts w:hint="eastAsia" w:ascii="仿宋" w:hAnsi="仿宋" w:eastAsia="仿宋" w:cs="仿宋"/>
          <w:b/>
          <w:sz w:val="28"/>
          <w:szCs w:val="28"/>
        </w:rPr>
      </w:pPr>
      <w:r>
        <w:rPr>
          <w:rFonts w:hint="eastAsia" w:ascii="仿宋" w:hAnsi="仿宋" w:eastAsia="仿宋" w:cs="仿宋"/>
          <w:b/>
          <w:sz w:val="28"/>
          <w:szCs w:val="28"/>
        </w:rPr>
        <w:t>表2-2  20</w:t>
      </w:r>
      <w:r>
        <w:rPr>
          <w:rFonts w:hint="eastAsia" w:ascii="仿宋" w:hAnsi="仿宋" w:eastAsia="仿宋" w:cs="仿宋"/>
          <w:b/>
          <w:sz w:val="28"/>
          <w:szCs w:val="28"/>
          <w:lang w:val="en-US" w:eastAsia="zh-CN"/>
        </w:rPr>
        <w:t>20</w:t>
      </w:r>
      <w:r>
        <w:rPr>
          <w:rFonts w:hint="eastAsia" w:ascii="仿宋" w:hAnsi="仿宋" w:eastAsia="仿宋" w:cs="仿宋"/>
          <w:b/>
          <w:sz w:val="28"/>
          <w:szCs w:val="28"/>
        </w:rPr>
        <w:t>年各二级学院毕业生就业情况统计表</w:t>
      </w:r>
    </w:p>
    <w:tbl>
      <w:tblPr>
        <w:tblStyle w:val="18"/>
        <w:tblW w:w="8360" w:type="dxa"/>
        <w:tblInd w:w="0" w:type="dxa"/>
        <w:shd w:val="clear" w:color="auto" w:fill="auto"/>
        <w:tblLayout w:type="fixed"/>
        <w:tblCellMar>
          <w:top w:w="0" w:type="dxa"/>
          <w:left w:w="0" w:type="dxa"/>
          <w:bottom w:w="0" w:type="dxa"/>
          <w:right w:w="0" w:type="dxa"/>
        </w:tblCellMar>
      </w:tblPr>
      <w:tblGrid>
        <w:gridCol w:w="987"/>
        <w:gridCol w:w="2938"/>
        <w:gridCol w:w="1575"/>
        <w:gridCol w:w="1574"/>
        <w:gridCol w:w="1286"/>
      </w:tblGrid>
      <w:tr>
        <w:tblPrEx>
          <w:shd w:val="clear" w:color="auto" w:fill="auto"/>
          <w:tblCellMar>
            <w:top w:w="0" w:type="dxa"/>
            <w:left w:w="0" w:type="dxa"/>
            <w:bottom w:w="0" w:type="dxa"/>
            <w:right w:w="0" w:type="dxa"/>
          </w:tblCellMar>
        </w:tblPrEx>
        <w:trPr>
          <w:trHeight w:val="758" w:hRule="atLeast"/>
        </w:trPr>
        <w:tc>
          <w:tcPr>
            <w:tcW w:w="987" w:type="dxa"/>
            <w:tcBorders>
              <w:top w:val="single" w:color="000000" w:sz="4" w:space="0"/>
              <w:left w:val="single" w:color="000000" w:sz="4" w:space="0"/>
              <w:bottom w:val="single" w:color="000000" w:sz="4" w:space="0"/>
              <w:right w:val="single" w:color="000000" w:sz="4" w:space="0"/>
            </w:tcBorders>
            <w:shd w:val="clear" w:color="8064A2" w:fill="8064A2"/>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8"/>
                <w:szCs w:val="28"/>
                <w:u w:val="none"/>
              </w:rPr>
            </w:pPr>
            <w:r>
              <w:rPr>
                <w:rFonts w:hint="eastAsia" w:ascii="仿宋" w:hAnsi="仿宋" w:eastAsia="仿宋" w:cs="仿宋"/>
                <w:b/>
                <w:i w:val="0"/>
                <w:strike w:val="0"/>
                <w:dstrike w:val="0"/>
                <w:color w:val="000000"/>
                <w:kern w:val="0"/>
                <w:sz w:val="28"/>
                <w:szCs w:val="28"/>
                <w:u w:val="none"/>
                <w:lang w:val="en-US" w:eastAsia="zh-CN" w:bidi="ar"/>
              </w:rPr>
              <w:t>序号</w:t>
            </w:r>
          </w:p>
        </w:tc>
        <w:tc>
          <w:tcPr>
            <w:tcW w:w="2938" w:type="dxa"/>
            <w:tcBorders>
              <w:top w:val="single" w:color="000000" w:sz="4" w:space="0"/>
              <w:left w:val="single" w:color="000000" w:sz="4" w:space="0"/>
              <w:bottom w:val="single" w:color="000000" w:sz="4" w:space="0"/>
              <w:right w:val="single" w:color="000000" w:sz="4" w:space="0"/>
            </w:tcBorders>
            <w:shd w:val="clear" w:color="8064A2" w:fill="8064A2"/>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8"/>
                <w:szCs w:val="28"/>
                <w:u w:val="none"/>
              </w:rPr>
            </w:pPr>
            <w:r>
              <w:rPr>
                <w:rFonts w:hint="eastAsia" w:ascii="仿宋" w:hAnsi="仿宋" w:eastAsia="仿宋" w:cs="仿宋"/>
                <w:b/>
                <w:i w:val="0"/>
                <w:strike w:val="0"/>
                <w:dstrike w:val="0"/>
                <w:color w:val="000000"/>
                <w:kern w:val="0"/>
                <w:sz w:val="28"/>
                <w:szCs w:val="28"/>
                <w:u w:val="none"/>
                <w:lang w:val="en-US" w:eastAsia="zh-CN" w:bidi="ar"/>
              </w:rPr>
              <w:t>学院名称</w:t>
            </w:r>
          </w:p>
        </w:tc>
        <w:tc>
          <w:tcPr>
            <w:tcW w:w="1575" w:type="dxa"/>
            <w:tcBorders>
              <w:top w:val="single" w:color="000000" w:sz="4" w:space="0"/>
              <w:left w:val="single" w:color="000000" w:sz="4" w:space="0"/>
              <w:bottom w:val="single" w:color="000000" w:sz="4" w:space="0"/>
              <w:right w:val="single" w:color="000000" w:sz="4" w:space="0"/>
            </w:tcBorders>
            <w:shd w:val="clear" w:color="8064A2" w:fill="8064A2"/>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8"/>
                <w:szCs w:val="28"/>
                <w:u w:val="none"/>
              </w:rPr>
            </w:pPr>
            <w:r>
              <w:rPr>
                <w:rFonts w:hint="eastAsia" w:ascii="仿宋" w:hAnsi="仿宋" w:eastAsia="仿宋" w:cs="仿宋"/>
                <w:b/>
                <w:i w:val="0"/>
                <w:strike w:val="0"/>
                <w:dstrike w:val="0"/>
                <w:color w:val="000000"/>
                <w:kern w:val="0"/>
                <w:sz w:val="28"/>
                <w:szCs w:val="28"/>
                <w:u w:val="none"/>
                <w:lang w:val="en-US" w:eastAsia="zh-CN" w:bidi="ar"/>
              </w:rPr>
              <w:t>毕业人数</w:t>
            </w:r>
          </w:p>
        </w:tc>
        <w:tc>
          <w:tcPr>
            <w:tcW w:w="1574" w:type="dxa"/>
            <w:tcBorders>
              <w:top w:val="single" w:color="000000" w:sz="4" w:space="0"/>
              <w:left w:val="single" w:color="000000" w:sz="4" w:space="0"/>
              <w:bottom w:val="single" w:color="000000" w:sz="4" w:space="0"/>
              <w:right w:val="single" w:color="000000" w:sz="4" w:space="0"/>
            </w:tcBorders>
            <w:shd w:val="clear" w:color="8064A2" w:fill="8064A2"/>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8"/>
                <w:szCs w:val="28"/>
                <w:u w:val="none"/>
              </w:rPr>
            </w:pPr>
            <w:r>
              <w:rPr>
                <w:rFonts w:hint="eastAsia" w:ascii="仿宋" w:hAnsi="仿宋" w:eastAsia="仿宋" w:cs="仿宋"/>
                <w:b/>
                <w:i w:val="0"/>
                <w:strike w:val="0"/>
                <w:dstrike w:val="0"/>
                <w:color w:val="000000"/>
                <w:kern w:val="0"/>
                <w:sz w:val="28"/>
                <w:szCs w:val="28"/>
                <w:u w:val="none"/>
                <w:lang w:val="en-US" w:eastAsia="zh-CN" w:bidi="ar"/>
              </w:rPr>
              <w:t>就业人数</w:t>
            </w:r>
          </w:p>
        </w:tc>
        <w:tc>
          <w:tcPr>
            <w:tcW w:w="1286" w:type="dxa"/>
            <w:tcBorders>
              <w:top w:val="single" w:color="000000" w:sz="4" w:space="0"/>
              <w:left w:val="single" w:color="000000" w:sz="4" w:space="0"/>
              <w:bottom w:val="single" w:color="000000" w:sz="4" w:space="0"/>
              <w:right w:val="single" w:color="000000" w:sz="4" w:space="0"/>
            </w:tcBorders>
            <w:shd w:val="clear" w:color="8064A2" w:fill="8064A2"/>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8"/>
                <w:szCs w:val="28"/>
                <w:u w:val="none"/>
              </w:rPr>
            </w:pPr>
            <w:r>
              <w:rPr>
                <w:rFonts w:hint="eastAsia" w:ascii="仿宋" w:hAnsi="仿宋" w:eastAsia="仿宋" w:cs="仿宋"/>
                <w:b/>
                <w:i w:val="0"/>
                <w:strike w:val="0"/>
                <w:dstrike w:val="0"/>
                <w:color w:val="000000"/>
                <w:kern w:val="0"/>
                <w:sz w:val="28"/>
                <w:szCs w:val="28"/>
                <w:u w:val="none"/>
                <w:lang w:val="en-US" w:eastAsia="zh-CN" w:bidi="ar"/>
              </w:rPr>
              <w:t>就业率</w:t>
            </w:r>
          </w:p>
        </w:tc>
      </w:tr>
      <w:tr>
        <w:tblPrEx>
          <w:tblCellMar>
            <w:top w:w="0" w:type="dxa"/>
            <w:left w:w="0" w:type="dxa"/>
            <w:bottom w:w="0" w:type="dxa"/>
            <w:right w:w="0" w:type="dxa"/>
          </w:tblCellMar>
        </w:tblPrEx>
        <w:trPr>
          <w:trHeight w:val="590" w:hRule="atLeast"/>
        </w:trPr>
        <w:tc>
          <w:tcPr>
            <w:tcW w:w="987"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938"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经济学院</w:t>
            </w:r>
          </w:p>
        </w:tc>
        <w:tc>
          <w:tcPr>
            <w:tcW w:w="1575"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239</w:t>
            </w:r>
          </w:p>
        </w:tc>
        <w:tc>
          <w:tcPr>
            <w:tcW w:w="1574"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211</w:t>
            </w:r>
          </w:p>
        </w:tc>
        <w:tc>
          <w:tcPr>
            <w:tcW w:w="1286"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88.28%</w:t>
            </w:r>
          </w:p>
        </w:tc>
      </w:tr>
      <w:tr>
        <w:tblPrEx>
          <w:tblCellMar>
            <w:top w:w="0" w:type="dxa"/>
            <w:left w:w="0" w:type="dxa"/>
            <w:bottom w:w="0" w:type="dxa"/>
            <w:right w:w="0" w:type="dxa"/>
          </w:tblCellMar>
        </w:tblPrEx>
        <w:trPr>
          <w:trHeight w:val="590" w:hRule="atLeast"/>
        </w:trPr>
        <w:tc>
          <w:tcPr>
            <w:tcW w:w="987"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c>
          <w:tcPr>
            <w:tcW w:w="2938"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工商管理学院</w:t>
            </w:r>
          </w:p>
        </w:tc>
        <w:tc>
          <w:tcPr>
            <w:tcW w:w="1575"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399</w:t>
            </w:r>
          </w:p>
        </w:tc>
        <w:tc>
          <w:tcPr>
            <w:tcW w:w="1574"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344</w:t>
            </w:r>
          </w:p>
        </w:tc>
        <w:tc>
          <w:tcPr>
            <w:tcW w:w="1286"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86.22%</w:t>
            </w:r>
          </w:p>
        </w:tc>
      </w:tr>
      <w:tr>
        <w:tblPrEx>
          <w:tblCellMar>
            <w:top w:w="0" w:type="dxa"/>
            <w:left w:w="0" w:type="dxa"/>
            <w:bottom w:w="0" w:type="dxa"/>
            <w:right w:w="0" w:type="dxa"/>
          </w:tblCellMar>
        </w:tblPrEx>
        <w:trPr>
          <w:trHeight w:val="590" w:hRule="atLeast"/>
        </w:trPr>
        <w:tc>
          <w:tcPr>
            <w:tcW w:w="987"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c>
          <w:tcPr>
            <w:tcW w:w="2938"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外国语学院</w:t>
            </w:r>
          </w:p>
        </w:tc>
        <w:tc>
          <w:tcPr>
            <w:tcW w:w="1575"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308</w:t>
            </w:r>
          </w:p>
        </w:tc>
        <w:tc>
          <w:tcPr>
            <w:tcW w:w="1574"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262</w:t>
            </w:r>
          </w:p>
        </w:tc>
        <w:tc>
          <w:tcPr>
            <w:tcW w:w="1286"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85.06%</w:t>
            </w:r>
          </w:p>
        </w:tc>
      </w:tr>
      <w:tr>
        <w:tblPrEx>
          <w:tblCellMar>
            <w:top w:w="0" w:type="dxa"/>
            <w:left w:w="0" w:type="dxa"/>
            <w:bottom w:w="0" w:type="dxa"/>
            <w:right w:w="0" w:type="dxa"/>
          </w:tblCellMar>
        </w:tblPrEx>
        <w:trPr>
          <w:trHeight w:val="590" w:hRule="atLeast"/>
        </w:trPr>
        <w:tc>
          <w:tcPr>
            <w:tcW w:w="987"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c>
          <w:tcPr>
            <w:tcW w:w="2938"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工程管理学院</w:t>
            </w:r>
          </w:p>
        </w:tc>
        <w:tc>
          <w:tcPr>
            <w:tcW w:w="1575"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272</w:t>
            </w:r>
          </w:p>
        </w:tc>
        <w:tc>
          <w:tcPr>
            <w:tcW w:w="1574"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231</w:t>
            </w:r>
          </w:p>
        </w:tc>
        <w:tc>
          <w:tcPr>
            <w:tcW w:w="1286"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84.93%</w:t>
            </w:r>
          </w:p>
        </w:tc>
      </w:tr>
      <w:tr>
        <w:tblPrEx>
          <w:tblCellMar>
            <w:top w:w="0" w:type="dxa"/>
            <w:left w:w="0" w:type="dxa"/>
            <w:bottom w:w="0" w:type="dxa"/>
            <w:right w:w="0" w:type="dxa"/>
          </w:tblCellMar>
        </w:tblPrEx>
        <w:trPr>
          <w:trHeight w:val="590" w:hRule="atLeast"/>
        </w:trPr>
        <w:tc>
          <w:tcPr>
            <w:tcW w:w="987"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c>
          <w:tcPr>
            <w:tcW w:w="2938"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厚生国际教育学院</w:t>
            </w:r>
          </w:p>
        </w:tc>
        <w:tc>
          <w:tcPr>
            <w:tcW w:w="1575"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105</w:t>
            </w:r>
          </w:p>
        </w:tc>
        <w:tc>
          <w:tcPr>
            <w:tcW w:w="1574"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88</w:t>
            </w:r>
          </w:p>
        </w:tc>
        <w:tc>
          <w:tcPr>
            <w:tcW w:w="1286"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83.81%</w:t>
            </w:r>
          </w:p>
        </w:tc>
      </w:tr>
      <w:tr>
        <w:tblPrEx>
          <w:tblCellMar>
            <w:top w:w="0" w:type="dxa"/>
            <w:left w:w="0" w:type="dxa"/>
            <w:bottom w:w="0" w:type="dxa"/>
            <w:right w:w="0" w:type="dxa"/>
          </w:tblCellMar>
        </w:tblPrEx>
        <w:trPr>
          <w:trHeight w:val="590" w:hRule="atLeast"/>
        </w:trPr>
        <w:tc>
          <w:tcPr>
            <w:tcW w:w="987"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6</w:t>
            </w:r>
          </w:p>
        </w:tc>
        <w:tc>
          <w:tcPr>
            <w:tcW w:w="2938"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公共管理学院</w:t>
            </w:r>
          </w:p>
        </w:tc>
        <w:tc>
          <w:tcPr>
            <w:tcW w:w="1575"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90</w:t>
            </w:r>
          </w:p>
        </w:tc>
        <w:tc>
          <w:tcPr>
            <w:tcW w:w="1574"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74</w:t>
            </w:r>
          </w:p>
        </w:tc>
        <w:tc>
          <w:tcPr>
            <w:tcW w:w="1286"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82.22%</w:t>
            </w:r>
          </w:p>
        </w:tc>
      </w:tr>
      <w:tr>
        <w:tblPrEx>
          <w:tblCellMar>
            <w:top w:w="0" w:type="dxa"/>
            <w:left w:w="0" w:type="dxa"/>
            <w:bottom w:w="0" w:type="dxa"/>
            <w:right w:w="0" w:type="dxa"/>
          </w:tblCellMar>
        </w:tblPrEx>
        <w:trPr>
          <w:trHeight w:val="590" w:hRule="atLeast"/>
        </w:trPr>
        <w:tc>
          <w:tcPr>
            <w:tcW w:w="987"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7</w:t>
            </w:r>
          </w:p>
        </w:tc>
        <w:tc>
          <w:tcPr>
            <w:tcW w:w="2938"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财政金融学院</w:t>
            </w:r>
          </w:p>
        </w:tc>
        <w:tc>
          <w:tcPr>
            <w:tcW w:w="1575"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533</w:t>
            </w:r>
          </w:p>
        </w:tc>
        <w:tc>
          <w:tcPr>
            <w:tcW w:w="1574"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435</w:t>
            </w:r>
          </w:p>
        </w:tc>
        <w:tc>
          <w:tcPr>
            <w:tcW w:w="1286"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81.61%</w:t>
            </w:r>
          </w:p>
        </w:tc>
      </w:tr>
      <w:tr>
        <w:tblPrEx>
          <w:tblCellMar>
            <w:top w:w="0" w:type="dxa"/>
            <w:left w:w="0" w:type="dxa"/>
            <w:bottom w:w="0" w:type="dxa"/>
            <w:right w:w="0" w:type="dxa"/>
          </w:tblCellMar>
        </w:tblPrEx>
        <w:trPr>
          <w:trHeight w:val="590" w:hRule="atLeast"/>
        </w:trPr>
        <w:tc>
          <w:tcPr>
            <w:tcW w:w="987"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8</w:t>
            </w:r>
          </w:p>
        </w:tc>
        <w:tc>
          <w:tcPr>
            <w:tcW w:w="2938"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会计学院</w:t>
            </w:r>
          </w:p>
        </w:tc>
        <w:tc>
          <w:tcPr>
            <w:tcW w:w="1575"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1071</w:t>
            </w:r>
          </w:p>
        </w:tc>
        <w:tc>
          <w:tcPr>
            <w:tcW w:w="1574"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865</w:t>
            </w:r>
          </w:p>
        </w:tc>
        <w:tc>
          <w:tcPr>
            <w:tcW w:w="1286"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80.77%</w:t>
            </w:r>
          </w:p>
        </w:tc>
      </w:tr>
      <w:tr>
        <w:tblPrEx>
          <w:tblCellMar>
            <w:top w:w="0" w:type="dxa"/>
            <w:left w:w="0" w:type="dxa"/>
            <w:bottom w:w="0" w:type="dxa"/>
            <w:right w:w="0" w:type="dxa"/>
          </w:tblCellMar>
        </w:tblPrEx>
        <w:trPr>
          <w:trHeight w:val="590" w:hRule="atLeast"/>
        </w:trPr>
        <w:tc>
          <w:tcPr>
            <w:tcW w:w="987"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9</w:t>
            </w:r>
          </w:p>
        </w:tc>
        <w:tc>
          <w:tcPr>
            <w:tcW w:w="2938"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信息技术与管理学院</w:t>
            </w:r>
          </w:p>
        </w:tc>
        <w:tc>
          <w:tcPr>
            <w:tcW w:w="1575"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275</w:t>
            </w:r>
          </w:p>
        </w:tc>
        <w:tc>
          <w:tcPr>
            <w:tcW w:w="1574"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220</w:t>
            </w:r>
          </w:p>
        </w:tc>
        <w:tc>
          <w:tcPr>
            <w:tcW w:w="1286" w:type="dxa"/>
            <w:tcBorders>
              <w:top w:val="single" w:color="000000" w:sz="4" w:space="0"/>
              <w:left w:val="single" w:color="000000" w:sz="4" w:space="0"/>
              <w:bottom w:val="single" w:color="000000" w:sz="4" w:space="0"/>
              <w:right w:val="single" w:color="000000" w:sz="4" w:space="0"/>
            </w:tcBorders>
            <w:shd w:val="clear" w:color="CCC0DA"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80.00%</w:t>
            </w:r>
          </w:p>
        </w:tc>
      </w:tr>
      <w:tr>
        <w:tblPrEx>
          <w:tblCellMar>
            <w:top w:w="0" w:type="dxa"/>
            <w:left w:w="0" w:type="dxa"/>
            <w:bottom w:w="0" w:type="dxa"/>
            <w:right w:w="0" w:type="dxa"/>
          </w:tblCellMar>
        </w:tblPrEx>
        <w:trPr>
          <w:trHeight w:val="599" w:hRule="atLeast"/>
        </w:trPr>
        <w:tc>
          <w:tcPr>
            <w:tcW w:w="3925" w:type="dxa"/>
            <w:gridSpan w:val="2"/>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8"/>
                <w:szCs w:val="28"/>
                <w:u w:val="none"/>
              </w:rPr>
            </w:pPr>
            <w:r>
              <w:rPr>
                <w:rFonts w:hint="eastAsia" w:ascii="仿宋" w:hAnsi="仿宋" w:eastAsia="仿宋" w:cs="仿宋"/>
                <w:b/>
                <w:i w:val="0"/>
                <w:strike w:val="0"/>
                <w:dstrike w:val="0"/>
                <w:color w:val="000000"/>
                <w:kern w:val="0"/>
                <w:sz w:val="28"/>
                <w:szCs w:val="28"/>
                <w:u w:val="none"/>
                <w:lang w:val="en-US" w:eastAsia="zh-CN" w:bidi="ar"/>
              </w:rPr>
              <w:t>合计：</w:t>
            </w:r>
          </w:p>
        </w:tc>
        <w:tc>
          <w:tcPr>
            <w:tcW w:w="1575"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8"/>
                <w:szCs w:val="28"/>
                <w:u w:val="none"/>
              </w:rPr>
            </w:pPr>
            <w:r>
              <w:rPr>
                <w:rFonts w:hint="eastAsia" w:ascii="仿宋" w:hAnsi="仿宋" w:eastAsia="仿宋" w:cs="仿宋"/>
                <w:b/>
                <w:i w:val="0"/>
                <w:strike w:val="0"/>
                <w:dstrike w:val="0"/>
                <w:color w:val="000000"/>
                <w:kern w:val="0"/>
                <w:sz w:val="28"/>
                <w:szCs w:val="28"/>
                <w:u w:val="none"/>
                <w:lang w:val="en-US" w:eastAsia="zh-CN" w:bidi="ar"/>
              </w:rPr>
              <w:t>3292</w:t>
            </w:r>
          </w:p>
        </w:tc>
        <w:tc>
          <w:tcPr>
            <w:tcW w:w="1574"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8"/>
                <w:szCs w:val="28"/>
                <w:u w:val="none"/>
              </w:rPr>
            </w:pPr>
            <w:r>
              <w:rPr>
                <w:rFonts w:hint="eastAsia" w:ascii="仿宋" w:hAnsi="仿宋" w:eastAsia="仿宋" w:cs="仿宋"/>
                <w:b/>
                <w:i w:val="0"/>
                <w:strike w:val="0"/>
                <w:dstrike w:val="0"/>
                <w:color w:val="000000"/>
                <w:kern w:val="0"/>
                <w:sz w:val="28"/>
                <w:szCs w:val="28"/>
                <w:u w:val="none"/>
                <w:lang w:val="en-US" w:eastAsia="zh-CN" w:bidi="ar"/>
              </w:rPr>
              <w:t>2730</w:t>
            </w:r>
          </w:p>
        </w:tc>
        <w:tc>
          <w:tcPr>
            <w:tcW w:w="1286" w:type="dxa"/>
            <w:tcBorders>
              <w:top w:val="single" w:color="000000" w:sz="4" w:space="0"/>
              <w:left w:val="single" w:color="000000" w:sz="4" w:space="0"/>
              <w:bottom w:val="single" w:color="000000" w:sz="4" w:space="0"/>
              <w:right w:val="single" w:color="000000" w:sz="4" w:space="0"/>
            </w:tcBorders>
            <w:shd w:val="clear" w:color="E5E0EC" w:fill="E5E0EC"/>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8"/>
                <w:szCs w:val="28"/>
                <w:u w:val="none"/>
              </w:rPr>
            </w:pPr>
            <w:r>
              <w:rPr>
                <w:rFonts w:hint="eastAsia" w:ascii="仿宋" w:hAnsi="仿宋" w:eastAsia="仿宋" w:cs="仿宋"/>
                <w:b/>
                <w:i w:val="0"/>
                <w:strike w:val="0"/>
                <w:dstrike w:val="0"/>
                <w:color w:val="000000"/>
                <w:kern w:val="0"/>
                <w:sz w:val="28"/>
                <w:szCs w:val="28"/>
                <w:u w:val="none"/>
                <w:lang w:val="en-US" w:eastAsia="zh-CN" w:bidi="ar"/>
              </w:rPr>
              <w:t>82.93%</w:t>
            </w:r>
          </w:p>
        </w:tc>
      </w:tr>
    </w:tbl>
    <w:p>
      <w:pPr>
        <w:pStyle w:val="5"/>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仿宋" w:hAnsi="仿宋" w:eastAsia="仿宋" w:cs="仿宋"/>
          <w:b w:val="0"/>
          <w:color w:val="1F497D"/>
          <w:sz w:val="30"/>
          <w:szCs w:val="30"/>
        </w:rPr>
      </w:pPr>
      <w:bookmarkStart w:id="42" w:name="_Toc10651"/>
      <w:bookmarkStart w:id="43" w:name="_Toc9146"/>
      <w:r>
        <w:rPr>
          <w:rFonts w:hint="eastAsia" w:ascii="仿宋" w:hAnsi="仿宋" w:eastAsia="仿宋" w:cs="仿宋"/>
          <w:color w:val="1F497D"/>
          <w:sz w:val="30"/>
          <w:szCs w:val="30"/>
        </w:rPr>
        <w:t>2.2.2 各学科专业就业情况</w:t>
      </w:r>
      <w:bookmarkEnd w:id="42"/>
      <w:bookmarkEnd w:id="43"/>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从学科专业来看，我校20</w:t>
      </w:r>
      <w:r>
        <w:rPr>
          <w:rFonts w:hint="eastAsia" w:ascii="仿宋" w:hAnsi="仿宋" w:eastAsia="仿宋" w:cs="仿宋"/>
          <w:sz w:val="28"/>
          <w:szCs w:val="28"/>
          <w:lang w:val="en-US" w:eastAsia="zh-CN"/>
        </w:rPr>
        <w:t>20</w:t>
      </w:r>
      <w:r>
        <w:rPr>
          <w:rFonts w:hint="eastAsia" w:ascii="仿宋" w:hAnsi="仿宋" w:eastAsia="仿宋" w:cs="仿宋"/>
          <w:sz w:val="28"/>
          <w:szCs w:val="28"/>
        </w:rPr>
        <w:t>届毕业生涵盖2</w:t>
      </w:r>
      <w:r>
        <w:rPr>
          <w:rFonts w:hint="eastAsia" w:ascii="仿宋" w:hAnsi="仿宋" w:eastAsia="仿宋" w:cs="仿宋"/>
          <w:sz w:val="28"/>
          <w:szCs w:val="28"/>
          <w:lang w:val="en-US" w:eastAsia="zh-CN"/>
        </w:rPr>
        <w:t>5</w:t>
      </w:r>
      <w:r>
        <w:rPr>
          <w:rFonts w:hint="eastAsia" w:ascii="仿宋" w:hAnsi="仿宋" w:eastAsia="仿宋" w:cs="仿宋"/>
          <w:sz w:val="28"/>
          <w:szCs w:val="28"/>
        </w:rPr>
        <w:t>个本科专业，其中，</w:t>
      </w:r>
      <w:r>
        <w:rPr>
          <w:rFonts w:hint="eastAsia" w:ascii="仿宋" w:hAnsi="仿宋" w:eastAsia="仿宋" w:cs="仿宋"/>
          <w:sz w:val="28"/>
          <w:szCs w:val="28"/>
          <w:lang w:eastAsia="zh-CN"/>
        </w:rPr>
        <w:t>翻译、国际经济与贸易</w:t>
      </w:r>
      <w:r>
        <w:rPr>
          <w:rFonts w:hint="eastAsia" w:ascii="仿宋" w:hAnsi="仿宋" w:eastAsia="仿宋" w:cs="仿宋"/>
          <w:sz w:val="28"/>
          <w:szCs w:val="28"/>
        </w:rPr>
        <w:t>、</w:t>
      </w:r>
      <w:r>
        <w:rPr>
          <w:rFonts w:hint="eastAsia" w:ascii="仿宋" w:hAnsi="仿宋" w:eastAsia="仿宋" w:cs="仿宋"/>
          <w:sz w:val="28"/>
          <w:szCs w:val="28"/>
          <w:lang w:eastAsia="zh-CN"/>
        </w:rPr>
        <w:t>物流管理</w:t>
      </w:r>
      <w:r>
        <w:rPr>
          <w:rFonts w:hint="eastAsia" w:ascii="仿宋" w:hAnsi="仿宋" w:eastAsia="仿宋" w:cs="仿宋"/>
          <w:sz w:val="28"/>
          <w:szCs w:val="28"/>
        </w:rPr>
        <w:t>等</w:t>
      </w:r>
      <w:r>
        <w:rPr>
          <w:rFonts w:hint="eastAsia" w:ascii="仿宋" w:hAnsi="仿宋" w:eastAsia="仿宋" w:cs="仿宋"/>
          <w:sz w:val="28"/>
          <w:szCs w:val="28"/>
          <w:lang w:val="en-US" w:eastAsia="zh-CN"/>
        </w:rPr>
        <w:t>3个</w:t>
      </w:r>
      <w:r>
        <w:rPr>
          <w:rFonts w:hint="eastAsia" w:ascii="仿宋" w:hAnsi="仿宋" w:eastAsia="仿宋" w:cs="仿宋"/>
          <w:sz w:val="28"/>
          <w:szCs w:val="28"/>
        </w:rPr>
        <w:t>专业初次就业率达</w:t>
      </w:r>
      <w:r>
        <w:rPr>
          <w:rFonts w:hint="eastAsia" w:ascii="仿宋" w:hAnsi="仿宋" w:eastAsia="仿宋" w:cs="仿宋"/>
          <w:sz w:val="28"/>
          <w:szCs w:val="28"/>
          <w:lang w:val="en-US" w:eastAsia="zh-CN"/>
        </w:rPr>
        <w:t>90</w:t>
      </w:r>
      <w:r>
        <w:rPr>
          <w:rFonts w:hint="eastAsia" w:ascii="仿宋" w:hAnsi="仿宋" w:eastAsia="仿宋" w:cs="仿宋"/>
          <w:sz w:val="28"/>
          <w:szCs w:val="28"/>
        </w:rPr>
        <w:t>%以上，具体情况详见表2-3。</w:t>
      </w:r>
    </w:p>
    <w:p>
      <w:pPr>
        <w:jc w:val="center"/>
        <w:rPr>
          <w:rFonts w:hint="eastAsia" w:ascii="仿宋" w:hAnsi="仿宋" w:eastAsia="仿宋" w:cs="仿宋"/>
          <w:b/>
          <w:sz w:val="30"/>
          <w:szCs w:val="30"/>
        </w:rPr>
      </w:pPr>
      <w:r>
        <w:rPr>
          <w:rFonts w:hint="eastAsia" w:ascii="仿宋" w:hAnsi="仿宋" w:eastAsia="仿宋" w:cs="仿宋"/>
          <w:b/>
          <w:sz w:val="30"/>
          <w:szCs w:val="30"/>
        </w:rPr>
        <w:t>表2-3  20</w:t>
      </w:r>
      <w:r>
        <w:rPr>
          <w:rFonts w:hint="eastAsia" w:ascii="仿宋" w:hAnsi="仿宋" w:eastAsia="仿宋" w:cs="仿宋"/>
          <w:b/>
          <w:sz w:val="30"/>
          <w:szCs w:val="30"/>
          <w:lang w:val="en-US" w:eastAsia="zh-CN"/>
        </w:rPr>
        <w:t>20</w:t>
      </w:r>
      <w:r>
        <w:rPr>
          <w:rFonts w:hint="eastAsia" w:ascii="仿宋" w:hAnsi="仿宋" w:eastAsia="仿宋" w:cs="仿宋"/>
          <w:b/>
          <w:sz w:val="30"/>
          <w:szCs w:val="30"/>
        </w:rPr>
        <w:t>届毕业生对应学科专业就业</w:t>
      </w:r>
      <w:r>
        <w:rPr>
          <w:rFonts w:hint="eastAsia" w:ascii="仿宋" w:hAnsi="仿宋" w:eastAsia="仿宋" w:cs="仿宋"/>
          <w:b/>
          <w:sz w:val="30"/>
          <w:szCs w:val="30"/>
          <w:lang w:eastAsia="zh-CN"/>
        </w:rPr>
        <w:t>情况</w:t>
      </w:r>
      <w:r>
        <w:rPr>
          <w:rFonts w:hint="eastAsia" w:ascii="仿宋" w:hAnsi="仿宋" w:eastAsia="仿宋" w:cs="仿宋"/>
          <w:b/>
          <w:sz w:val="30"/>
          <w:szCs w:val="30"/>
        </w:rPr>
        <w:t>统计表</w:t>
      </w:r>
    </w:p>
    <w:tbl>
      <w:tblPr>
        <w:tblStyle w:val="18"/>
        <w:tblW w:w="8440" w:type="dxa"/>
        <w:tblInd w:w="0" w:type="dxa"/>
        <w:shd w:val="clear" w:color="auto" w:fill="auto"/>
        <w:tblLayout w:type="fixed"/>
        <w:tblCellMar>
          <w:top w:w="0" w:type="dxa"/>
          <w:left w:w="0" w:type="dxa"/>
          <w:bottom w:w="0" w:type="dxa"/>
          <w:right w:w="0" w:type="dxa"/>
        </w:tblCellMar>
      </w:tblPr>
      <w:tblGrid>
        <w:gridCol w:w="842"/>
        <w:gridCol w:w="2507"/>
        <w:gridCol w:w="1565"/>
        <w:gridCol w:w="1565"/>
        <w:gridCol w:w="1961"/>
      </w:tblGrid>
      <w:tr>
        <w:tblPrEx>
          <w:shd w:val="clear" w:color="auto" w:fill="auto"/>
          <w:tblCellMar>
            <w:top w:w="0" w:type="dxa"/>
            <w:left w:w="0" w:type="dxa"/>
            <w:bottom w:w="0" w:type="dxa"/>
            <w:right w:w="0" w:type="dxa"/>
          </w:tblCellMar>
        </w:tblPrEx>
        <w:trPr>
          <w:trHeight w:val="600" w:hRule="atLeast"/>
          <w:tblHeader/>
        </w:trPr>
        <w:tc>
          <w:tcPr>
            <w:tcW w:w="842" w:type="dxa"/>
            <w:tcBorders>
              <w:top w:val="single" w:color="000000" w:sz="4" w:space="0"/>
              <w:left w:val="single" w:color="000000" w:sz="4" w:space="0"/>
              <w:bottom w:val="single" w:color="000000" w:sz="4" w:space="0"/>
              <w:right w:val="single" w:color="000000" w:sz="4" w:space="0"/>
            </w:tcBorders>
            <w:shd w:val="clear" w:color="C0504D" w:fill="C0504D"/>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2"/>
                <w:szCs w:val="22"/>
                <w:u w:val="none"/>
              </w:rPr>
            </w:pPr>
            <w:r>
              <w:rPr>
                <w:rFonts w:hint="eastAsia" w:ascii="仿宋" w:hAnsi="仿宋" w:eastAsia="仿宋" w:cs="仿宋"/>
                <w:b/>
                <w:i w:val="0"/>
                <w:strike w:val="0"/>
                <w:dstrike w:val="0"/>
                <w:color w:val="000000"/>
                <w:kern w:val="0"/>
                <w:sz w:val="22"/>
                <w:szCs w:val="22"/>
                <w:u w:val="none"/>
                <w:lang w:val="en-US" w:eastAsia="zh-CN" w:bidi="ar"/>
              </w:rPr>
              <w:t>序号</w:t>
            </w:r>
          </w:p>
        </w:tc>
        <w:tc>
          <w:tcPr>
            <w:tcW w:w="2507" w:type="dxa"/>
            <w:tcBorders>
              <w:top w:val="single" w:color="000000" w:sz="4" w:space="0"/>
              <w:left w:val="single" w:color="000000" w:sz="4" w:space="0"/>
              <w:bottom w:val="single" w:color="000000" w:sz="4" w:space="0"/>
              <w:right w:val="single" w:color="000000" w:sz="4" w:space="0"/>
            </w:tcBorders>
            <w:shd w:val="clear" w:color="C0504D" w:fill="C0504D"/>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2"/>
                <w:szCs w:val="22"/>
                <w:u w:val="none"/>
              </w:rPr>
            </w:pPr>
            <w:r>
              <w:rPr>
                <w:rFonts w:hint="eastAsia" w:ascii="仿宋" w:hAnsi="仿宋" w:eastAsia="仿宋" w:cs="仿宋"/>
                <w:b/>
                <w:i w:val="0"/>
                <w:strike w:val="0"/>
                <w:dstrike w:val="0"/>
                <w:color w:val="000000"/>
                <w:kern w:val="0"/>
                <w:sz w:val="22"/>
                <w:szCs w:val="22"/>
                <w:u w:val="none"/>
                <w:lang w:val="en-US" w:eastAsia="zh-CN" w:bidi="ar"/>
              </w:rPr>
              <w:t>专业名称</w:t>
            </w:r>
          </w:p>
        </w:tc>
        <w:tc>
          <w:tcPr>
            <w:tcW w:w="1565" w:type="dxa"/>
            <w:tcBorders>
              <w:top w:val="single" w:color="000000" w:sz="4" w:space="0"/>
              <w:left w:val="single" w:color="000000" w:sz="4" w:space="0"/>
              <w:bottom w:val="single" w:color="000000" w:sz="4" w:space="0"/>
              <w:right w:val="single" w:color="000000" w:sz="4" w:space="0"/>
            </w:tcBorders>
            <w:shd w:val="clear" w:color="C0504D" w:fill="C0504D"/>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2"/>
                <w:szCs w:val="22"/>
                <w:u w:val="none"/>
              </w:rPr>
            </w:pPr>
            <w:r>
              <w:rPr>
                <w:rFonts w:hint="eastAsia" w:ascii="仿宋" w:hAnsi="仿宋" w:eastAsia="仿宋" w:cs="仿宋"/>
                <w:b/>
                <w:i w:val="0"/>
                <w:strike w:val="0"/>
                <w:dstrike w:val="0"/>
                <w:color w:val="000000"/>
                <w:kern w:val="0"/>
                <w:sz w:val="22"/>
                <w:szCs w:val="22"/>
                <w:u w:val="none"/>
                <w:lang w:val="en-US" w:eastAsia="zh-CN" w:bidi="ar"/>
              </w:rPr>
              <w:t>毕业人数</w:t>
            </w:r>
          </w:p>
        </w:tc>
        <w:tc>
          <w:tcPr>
            <w:tcW w:w="1565" w:type="dxa"/>
            <w:tcBorders>
              <w:top w:val="single" w:color="000000" w:sz="4" w:space="0"/>
              <w:left w:val="single" w:color="000000" w:sz="4" w:space="0"/>
              <w:bottom w:val="single" w:color="000000" w:sz="4" w:space="0"/>
              <w:right w:val="single" w:color="000000" w:sz="4" w:space="0"/>
            </w:tcBorders>
            <w:shd w:val="clear" w:color="C0504D" w:fill="C0504D"/>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2"/>
                <w:szCs w:val="22"/>
                <w:u w:val="none"/>
              </w:rPr>
            </w:pPr>
            <w:r>
              <w:rPr>
                <w:rFonts w:hint="eastAsia" w:ascii="仿宋" w:hAnsi="仿宋" w:eastAsia="仿宋" w:cs="仿宋"/>
                <w:b/>
                <w:i w:val="0"/>
                <w:strike w:val="0"/>
                <w:dstrike w:val="0"/>
                <w:color w:val="000000"/>
                <w:kern w:val="0"/>
                <w:sz w:val="22"/>
                <w:szCs w:val="22"/>
                <w:u w:val="none"/>
                <w:lang w:val="en-US" w:eastAsia="zh-CN" w:bidi="ar"/>
              </w:rPr>
              <w:t>就业人数</w:t>
            </w:r>
          </w:p>
        </w:tc>
        <w:tc>
          <w:tcPr>
            <w:tcW w:w="1961" w:type="dxa"/>
            <w:tcBorders>
              <w:top w:val="single" w:color="000000" w:sz="4" w:space="0"/>
              <w:left w:val="single" w:color="000000" w:sz="4" w:space="0"/>
              <w:bottom w:val="single" w:color="000000" w:sz="4" w:space="0"/>
              <w:right w:val="single" w:color="000000" w:sz="4" w:space="0"/>
            </w:tcBorders>
            <w:shd w:val="clear" w:color="C0504D" w:fill="C0504D"/>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2"/>
                <w:szCs w:val="22"/>
                <w:u w:val="none"/>
              </w:rPr>
            </w:pPr>
            <w:r>
              <w:rPr>
                <w:rFonts w:hint="eastAsia" w:ascii="仿宋" w:hAnsi="仿宋" w:eastAsia="仿宋" w:cs="仿宋"/>
                <w:b/>
                <w:i w:val="0"/>
                <w:strike w:val="0"/>
                <w:dstrike w:val="0"/>
                <w:color w:val="000000"/>
                <w:kern w:val="0"/>
                <w:sz w:val="22"/>
                <w:szCs w:val="22"/>
                <w:u w:val="none"/>
                <w:lang w:val="en-US" w:eastAsia="zh-CN" w:bidi="ar"/>
              </w:rPr>
              <w:t>就业率</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1</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国际经济与贸易</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193</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174</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90.16%</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2</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国际商务</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46</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37</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80.43%</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3</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财政学</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98</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88</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89.80%</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4</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金融学</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385</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307</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79.74%</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5</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税收学</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50</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40</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80.00%</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6</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会计学</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801</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640</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79.90%</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7</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财务管理</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176</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149</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84.66%</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审计学</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94</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76</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80.85%</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9</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房地产开发与管理</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40</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34</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85.00%</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10</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工程管理</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48</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41</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85.42%</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11</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工程造价</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148</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125</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84.46%</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12</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土地资源管理</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36</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31</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86.11%</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13</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英语</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81</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69</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85.19%</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14</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商务英语</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107</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89</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83.18%</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15</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翻译</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59</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55</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93.22%</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16</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日语</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61</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49</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80.33%</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17</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信息管理与信息系统</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45</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34</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75.56%</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18</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计算机科学与技术</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92</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68</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73.91%</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19</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电子商务</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97</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84</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86.60%</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20</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电子信息工程</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41</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34</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82.93%</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21</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市场营销</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175</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157</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89.71%</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22</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物流管理</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90</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81</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90.00%</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23</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人力资源管理</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134</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106</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79.10%</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24</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会计学（国）</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105</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88</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83.81%</w:t>
            </w:r>
          </w:p>
        </w:tc>
      </w:tr>
      <w:tr>
        <w:tblPrEx>
          <w:tblCellMar>
            <w:top w:w="0" w:type="dxa"/>
            <w:left w:w="0" w:type="dxa"/>
            <w:bottom w:w="0" w:type="dxa"/>
            <w:right w:w="0" w:type="dxa"/>
          </w:tblCellMar>
        </w:tblPrEx>
        <w:trPr>
          <w:trHeight w:val="406"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25</w:t>
            </w:r>
          </w:p>
        </w:tc>
        <w:tc>
          <w:tcPr>
            <w:tcW w:w="2507"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行政管理</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90</w:t>
            </w:r>
          </w:p>
        </w:tc>
        <w:tc>
          <w:tcPr>
            <w:tcW w:w="156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74</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82.22%</w:t>
            </w:r>
          </w:p>
        </w:tc>
      </w:tr>
      <w:tr>
        <w:tblPrEx>
          <w:tblCellMar>
            <w:top w:w="0" w:type="dxa"/>
            <w:left w:w="0" w:type="dxa"/>
            <w:bottom w:w="0" w:type="dxa"/>
            <w:right w:w="0" w:type="dxa"/>
          </w:tblCellMar>
        </w:tblPrEx>
        <w:trPr>
          <w:trHeight w:val="423" w:hRule="atLeast"/>
        </w:trPr>
        <w:tc>
          <w:tcPr>
            <w:tcW w:w="842"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合计</w:t>
            </w:r>
          </w:p>
        </w:tc>
        <w:tc>
          <w:tcPr>
            <w:tcW w:w="2507"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2"/>
                <w:szCs w:val="22"/>
                <w:u w:val="none"/>
              </w:rPr>
            </w:pPr>
            <w:r>
              <w:rPr>
                <w:rFonts w:hint="eastAsia" w:ascii="仿宋" w:hAnsi="仿宋" w:eastAsia="仿宋" w:cs="仿宋"/>
                <w:i w:val="0"/>
                <w:strike w:val="0"/>
                <w:dstrike w:val="0"/>
                <w:color w:val="000000"/>
                <w:kern w:val="0"/>
                <w:sz w:val="22"/>
                <w:szCs w:val="22"/>
                <w:u w:val="none"/>
                <w:lang w:val="en-US" w:eastAsia="zh-CN" w:bidi="ar"/>
              </w:rPr>
              <w:t>　</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2"/>
                <w:szCs w:val="22"/>
                <w:u w:val="none"/>
              </w:rPr>
            </w:pPr>
            <w:r>
              <w:rPr>
                <w:rFonts w:hint="eastAsia" w:ascii="仿宋" w:hAnsi="仿宋" w:eastAsia="仿宋" w:cs="仿宋"/>
                <w:b/>
                <w:i w:val="0"/>
                <w:strike w:val="0"/>
                <w:dstrike w:val="0"/>
                <w:color w:val="000000"/>
                <w:kern w:val="0"/>
                <w:sz w:val="22"/>
                <w:szCs w:val="22"/>
                <w:u w:val="none"/>
                <w:lang w:val="en-US" w:eastAsia="zh-CN" w:bidi="ar"/>
              </w:rPr>
              <w:t>3292</w:t>
            </w:r>
          </w:p>
        </w:tc>
        <w:tc>
          <w:tcPr>
            <w:tcW w:w="15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2"/>
                <w:szCs w:val="22"/>
                <w:u w:val="none"/>
              </w:rPr>
            </w:pPr>
            <w:r>
              <w:rPr>
                <w:rFonts w:hint="eastAsia" w:ascii="仿宋" w:hAnsi="仿宋" w:eastAsia="仿宋" w:cs="仿宋"/>
                <w:b/>
                <w:i w:val="0"/>
                <w:strike w:val="0"/>
                <w:dstrike w:val="0"/>
                <w:color w:val="000000"/>
                <w:kern w:val="0"/>
                <w:sz w:val="22"/>
                <w:szCs w:val="22"/>
                <w:u w:val="none"/>
                <w:lang w:val="en-US" w:eastAsia="zh-CN" w:bidi="ar"/>
              </w:rPr>
              <w:t>2730</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2"/>
                <w:szCs w:val="22"/>
                <w:u w:val="none"/>
              </w:rPr>
            </w:pPr>
            <w:r>
              <w:rPr>
                <w:rFonts w:hint="eastAsia" w:ascii="仿宋" w:hAnsi="仿宋" w:eastAsia="仿宋" w:cs="仿宋"/>
                <w:b/>
                <w:i w:val="0"/>
                <w:strike w:val="0"/>
                <w:dstrike w:val="0"/>
                <w:color w:val="000000"/>
                <w:kern w:val="0"/>
                <w:sz w:val="22"/>
                <w:szCs w:val="22"/>
                <w:u w:val="none"/>
                <w:lang w:val="en-US" w:eastAsia="zh-CN" w:bidi="ar"/>
              </w:rPr>
              <w:t>82.93%</w:t>
            </w:r>
          </w:p>
        </w:tc>
      </w:tr>
    </w:tbl>
    <w:p>
      <w:pPr>
        <w:pStyle w:val="46"/>
        <w:keepNext w:val="0"/>
        <w:keepLines w:val="0"/>
        <w:pageBreakBefore w:val="0"/>
        <w:widowControl w:val="0"/>
        <w:kinsoku/>
        <w:wordWrap/>
        <w:overflowPunct/>
        <w:topLinePunct w:val="0"/>
        <w:autoSpaceDE/>
        <w:autoSpaceDN/>
        <w:bidi w:val="0"/>
        <w:adjustRightInd/>
        <w:snapToGrid/>
        <w:spacing w:before="157" w:beforeLines="50" w:after="157" w:afterLines="50"/>
        <w:ind w:firstLine="0" w:firstLineChars="0"/>
        <w:textAlignment w:val="auto"/>
        <w:outlineLvl w:val="1"/>
        <w:rPr>
          <w:rFonts w:hint="eastAsia" w:ascii="仿宋" w:hAnsi="仿宋" w:eastAsia="仿宋" w:cs="仿宋"/>
          <w:b/>
          <w:color w:val="1F497D"/>
          <w:sz w:val="32"/>
          <w:szCs w:val="32"/>
        </w:rPr>
      </w:pPr>
      <w:bookmarkStart w:id="44" w:name="_Toc4451"/>
      <w:bookmarkStart w:id="45" w:name="_Toc19894"/>
      <w:r>
        <w:rPr>
          <w:rFonts w:hint="eastAsia" w:ascii="仿宋" w:hAnsi="仿宋" w:eastAsia="仿宋" w:cs="仿宋"/>
          <w:b/>
          <w:color w:val="1F497D"/>
          <w:sz w:val="32"/>
          <w:szCs w:val="32"/>
        </w:rPr>
        <w:t>2.3 毕业生就业结构</w:t>
      </w:r>
      <w:bookmarkEnd w:id="44"/>
      <w:bookmarkEnd w:id="45"/>
    </w:p>
    <w:p>
      <w:pPr>
        <w:pStyle w:val="5"/>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仿宋" w:hAnsi="仿宋" w:eastAsia="仿宋" w:cs="仿宋"/>
          <w:b w:val="0"/>
          <w:color w:val="1F497D"/>
          <w:sz w:val="30"/>
          <w:szCs w:val="30"/>
        </w:rPr>
      </w:pPr>
      <w:bookmarkStart w:id="46" w:name="_Toc26143"/>
      <w:bookmarkStart w:id="47" w:name="_Toc5994"/>
      <w:r>
        <w:rPr>
          <w:rFonts w:hint="eastAsia" w:ascii="仿宋" w:hAnsi="仿宋" w:eastAsia="仿宋" w:cs="仿宋"/>
          <w:color w:val="1F497D"/>
          <w:sz w:val="30"/>
          <w:szCs w:val="30"/>
        </w:rPr>
        <w:t>2.3.1 就业地域分布</w:t>
      </w:r>
      <w:bookmarkEnd w:id="46"/>
      <w:bookmarkEnd w:id="47"/>
    </w:p>
    <w:p>
      <w:pPr>
        <w:ind w:firstLine="551" w:firstLineChars="197"/>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从统计数据</w:t>
      </w:r>
      <w:r>
        <w:rPr>
          <w:rFonts w:hint="eastAsia" w:ascii="仿宋" w:hAnsi="仿宋" w:eastAsia="仿宋" w:cs="仿宋"/>
          <w:color w:val="000000"/>
          <w:sz w:val="28"/>
          <w:szCs w:val="28"/>
          <w:lang w:eastAsia="zh-CN"/>
        </w:rPr>
        <w:t>显示</w:t>
      </w:r>
      <w:r>
        <w:rPr>
          <w:rFonts w:hint="eastAsia" w:ascii="仿宋" w:hAnsi="仿宋" w:eastAsia="仿宋" w:cs="仿宋"/>
          <w:color w:val="000000"/>
          <w:sz w:val="28"/>
          <w:szCs w:val="28"/>
        </w:rPr>
        <w:t>：我校20</w:t>
      </w: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届毕业生就业地域流向主要集中在湖南地区，占</w:t>
      </w:r>
      <w:r>
        <w:rPr>
          <w:rFonts w:hint="eastAsia" w:ascii="仿宋" w:hAnsi="仿宋" w:eastAsia="仿宋" w:cs="仿宋"/>
          <w:color w:val="000000"/>
          <w:sz w:val="28"/>
          <w:szCs w:val="28"/>
          <w:lang w:val="en-US" w:eastAsia="zh-CN"/>
        </w:rPr>
        <w:t>58.10</w:t>
      </w:r>
      <w:r>
        <w:rPr>
          <w:rFonts w:hint="eastAsia" w:ascii="仿宋" w:hAnsi="仿宋" w:eastAsia="仿宋" w:cs="仿宋"/>
          <w:color w:val="000000"/>
          <w:sz w:val="28"/>
          <w:szCs w:val="28"/>
        </w:rPr>
        <w:t>%，近年来，由于学校就业工作的深入开展，毕业生就业</w:t>
      </w:r>
      <w:r>
        <w:rPr>
          <w:rFonts w:hint="eastAsia" w:ascii="仿宋" w:hAnsi="仿宋" w:eastAsia="仿宋" w:cs="仿宋"/>
          <w:color w:val="000000"/>
          <w:sz w:val="28"/>
          <w:szCs w:val="28"/>
          <w:lang w:eastAsia="zh-CN"/>
        </w:rPr>
        <w:t>地域</w:t>
      </w:r>
      <w:r>
        <w:rPr>
          <w:rFonts w:hint="eastAsia" w:ascii="仿宋" w:hAnsi="仿宋" w:eastAsia="仿宋" w:cs="仿宋"/>
          <w:color w:val="000000"/>
          <w:sz w:val="28"/>
          <w:szCs w:val="28"/>
        </w:rPr>
        <w:t>由原来相对集中在湖南地区，发展到覆盖全国</w:t>
      </w:r>
      <w:r>
        <w:rPr>
          <w:rFonts w:hint="eastAsia" w:ascii="仿宋" w:hAnsi="仿宋" w:eastAsia="仿宋" w:cs="仿宋"/>
          <w:color w:val="000000"/>
          <w:sz w:val="28"/>
          <w:szCs w:val="28"/>
          <w:lang w:val="en-US" w:eastAsia="zh-CN"/>
        </w:rPr>
        <w:t>30个</w:t>
      </w:r>
      <w:r>
        <w:rPr>
          <w:rFonts w:hint="eastAsia" w:ascii="仿宋" w:hAnsi="仿宋" w:eastAsia="仿宋" w:cs="仿宋"/>
          <w:color w:val="000000"/>
          <w:sz w:val="28"/>
          <w:szCs w:val="28"/>
        </w:rPr>
        <w:t>省市、自治区，逐步形成了以长株潭地区为中心，向珠三角、长三角等沿海地区及中西部地区辐射的就业格局，这主要与生源结构和区域经济发展水平紧密相关，也进一步体现了我校</w:t>
      </w:r>
      <w:r>
        <w:rPr>
          <w:rFonts w:hint="eastAsia" w:ascii="仿宋" w:hAnsi="仿宋" w:eastAsia="仿宋" w:cs="仿宋"/>
          <w:color w:val="000000"/>
          <w:sz w:val="28"/>
          <w:szCs w:val="28"/>
          <w:lang w:eastAsia="zh-CN"/>
        </w:rPr>
        <w:t>办学方向</w:t>
      </w:r>
      <w:r>
        <w:rPr>
          <w:rFonts w:hint="eastAsia" w:ascii="仿宋" w:hAnsi="仿宋" w:eastAsia="仿宋" w:cs="仿宋"/>
          <w:color w:val="000000"/>
          <w:sz w:val="28"/>
          <w:szCs w:val="28"/>
        </w:rPr>
        <w:t>立足湖南，服务全国的定位，具体情况详见表2-4</w:t>
      </w:r>
      <w:r>
        <w:rPr>
          <w:rFonts w:hint="eastAsia" w:ascii="仿宋" w:hAnsi="仿宋" w:eastAsia="仿宋" w:cs="仿宋"/>
          <w:color w:val="000000"/>
          <w:sz w:val="28"/>
          <w:szCs w:val="28"/>
          <w:lang w:eastAsia="zh-CN"/>
        </w:rPr>
        <w:t>。</w:t>
      </w:r>
    </w:p>
    <w:p>
      <w:pPr>
        <w:jc w:val="center"/>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 xml:space="preserve">  </w:t>
      </w:r>
      <w:r>
        <w:rPr>
          <w:rFonts w:hint="eastAsia" w:ascii="仿宋" w:hAnsi="仿宋" w:eastAsia="仿宋" w:cs="仿宋"/>
          <w:b/>
          <w:color w:val="000000"/>
          <w:sz w:val="28"/>
          <w:szCs w:val="28"/>
        </w:rPr>
        <w:t>表2-4 20</w:t>
      </w:r>
      <w:r>
        <w:rPr>
          <w:rFonts w:hint="eastAsia" w:ascii="仿宋" w:hAnsi="仿宋" w:eastAsia="仿宋" w:cs="仿宋"/>
          <w:b/>
          <w:color w:val="000000"/>
          <w:sz w:val="28"/>
          <w:szCs w:val="28"/>
          <w:lang w:val="en-US" w:eastAsia="zh-CN"/>
        </w:rPr>
        <w:t>20</w:t>
      </w:r>
      <w:r>
        <w:rPr>
          <w:rFonts w:hint="eastAsia" w:ascii="仿宋" w:hAnsi="仿宋" w:eastAsia="仿宋" w:cs="仿宋"/>
          <w:b/>
          <w:color w:val="000000"/>
          <w:sz w:val="28"/>
          <w:szCs w:val="28"/>
        </w:rPr>
        <w:t>届毕业生就业地区流向统计表（不含升学、出国）</w:t>
      </w:r>
    </w:p>
    <w:tbl>
      <w:tblPr>
        <w:tblStyle w:val="18"/>
        <w:tblW w:w="8580" w:type="dxa"/>
        <w:tblInd w:w="0" w:type="dxa"/>
        <w:shd w:val="clear" w:color="auto" w:fill="auto"/>
        <w:tblLayout w:type="fixed"/>
        <w:tblCellMar>
          <w:top w:w="0" w:type="dxa"/>
          <w:left w:w="0" w:type="dxa"/>
          <w:bottom w:w="0" w:type="dxa"/>
          <w:right w:w="0" w:type="dxa"/>
        </w:tblCellMar>
      </w:tblPr>
      <w:tblGrid>
        <w:gridCol w:w="1067"/>
        <w:gridCol w:w="1291"/>
        <w:gridCol w:w="1358"/>
        <w:gridCol w:w="1441"/>
        <w:gridCol w:w="1319"/>
        <w:gridCol w:w="2104"/>
      </w:tblGrid>
      <w:tr>
        <w:tblPrEx>
          <w:shd w:val="clear" w:color="auto" w:fill="auto"/>
          <w:tblCellMar>
            <w:top w:w="0" w:type="dxa"/>
            <w:left w:w="0" w:type="dxa"/>
            <w:bottom w:w="0" w:type="dxa"/>
            <w:right w:w="0" w:type="dxa"/>
          </w:tblCellMar>
        </w:tblPrEx>
        <w:trPr>
          <w:trHeight w:val="526" w:hRule="exact"/>
          <w:tblHeader/>
        </w:trPr>
        <w:tc>
          <w:tcPr>
            <w:tcW w:w="1067" w:type="dxa"/>
            <w:tcBorders>
              <w:top w:val="single" w:color="auto" w:sz="8" w:space="0"/>
              <w:left w:val="single" w:color="auto" w:sz="8" w:space="0"/>
              <w:bottom w:val="nil"/>
              <w:right w:val="single" w:color="auto" w:sz="8" w:space="0"/>
            </w:tcBorders>
            <w:shd w:val="clear" w:color="000000" w:fill="00B05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FFFFFF"/>
                <w:sz w:val="24"/>
                <w:szCs w:val="24"/>
                <w:u w:val="none"/>
              </w:rPr>
            </w:pPr>
            <w:r>
              <w:rPr>
                <w:rFonts w:hint="eastAsia" w:ascii="仿宋" w:hAnsi="仿宋" w:eastAsia="仿宋" w:cs="仿宋"/>
                <w:b/>
                <w:i w:val="0"/>
                <w:color w:val="FFFFFF"/>
                <w:kern w:val="0"/>
                <w:sz w:val="24"/>
                <w:szCs w:val="24"/>
                <w:u w:val="none"/>
                <w:lang w:val="en-US" w:eastAsia="zh-CN" w:bidi="ar"/>
              </w:rPr>
              <w:t>地区</w:t>
            </w:r>
          </w:p>
        </w:tc>
        <w:tc>
          <w:tcPr>
            <w:tcW w:w="1291" w:type="dxa"/>
            <w:tcBorders>
              <w:top w:val="single" w:color="auto" w:sz="8" w:space="0"/>
              <w:left w:val="nil"/>
              <w:bottom w:val="nil"/>
              <w:right w:val="single" w:color="auto" w:sz="8" w:space="0"/>
            </w:tcBorders>
            <w:shd w:val="clear" w:color="000000" w:fill="00B05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FFFFFF"/>
                <w:sz w:val="24"/>
                <w:szCs w:val="24"/>
                <w:u w:val="none"/>
              </w:rPr>
            </w:pPr>
            <w:r>
              <w:rPr>
                <w:rFonts w:hint="eastAsia" w:ascii="仿宋" w:hAnsi="仿宋" w:eastAsia="仿宋" w:cs="仿宋"/>
                <w:b/>
                <w:i w:val="0"/>
                <w:color w:val="FFFFFF"/>
                <w:kern w:val="0"/>
                <w:sz w:val="24"/>
                <w:szCs w:val="24"/>
                <w:u w:val="none"/>
                <w:lang w:val="en-US" w:eastAsia="zh-CN" w:bidi="ar"/>
              </w:rPr>
              <w:t>就业人数</w:t>
            </w:r>
          </w:p>
        </w:tc>
        <w:tc>
          <w:tcPr>
            <w:tcW w:w="1358" w:type="dxa"/>
            <w:tcBorders>
              <w:top w:val="single" w:color="auto" w:sz="8" w:space="0"/>
              <w:left w:val="nil"/>
              <w:bottom w:val="nil"/>
              <w:right w:val="single" w:color="auto" w:sz="8" w:space="0"/>
            </w:tcBorders>
            <w:shd w:val="clear" w:color="000000" w:fill="00B05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FFFFFF"/>
                <w:sz w:val="24"/>
                <w:szCs w:val="24"/>
                <w:u w:val="none"/>
              </w:rPr>
            </w:pPr>
            <w:r>
              <w:rPr>
                <w:rFonts w:hint="eastAsia" w:ascii="仿宋" w:hAnsi="仿宋" w:eastAsia="仿宋" w:cs="仿宋"/>
                <w:b/>
                <w:i w:val="0"/>
                <w:color w:val="FFFFFF"/>
                <w:kern w:val="0"/>
                <w:sz w:val="24"/>
                <w:szCs w:val="24"/>
                <w:u w:val="none"/>
                <w:lang w:val="en-US" w:eastAsia="zh-CN" w:bidi="ar"/>
              </w:rPr>
              <w:t>比例（%）</w:t>
            </w:r>
          </w:p>
        </w:tc>
        <w:tc>
          <w:tcPr>
            <w:tcW w:w="1441" w:type="dxa"/>
            <w:tcBorders>
              <w:top w:val="single" w:color="auto" w:sz="8" w:space="0"/>
              <w:left w:val="nil"/>
              <w:bottom w:val="nil"/>
              <w:right w:val="single" w:color="auto" w:sz="8" w:space="0"/>
            </w:tcBorders>
            <w:shd w:val="clear" w:color="000000" w:fill="00B05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FFFFFF"/>
                <w:sz w:val="24"/>
                <w:szCs w:val="24"/>
                <w:u w:val="none"/>
              </w:rPr>
            </w:pPr>
            <w:r>
              <w:rPr>
                <w:rFonts w:hint="eastAsia" w:ascii="仿宋" w:hAnsi="仿宋" w:eastAsia="仿宋" w:cs="仿宋"/>
                <w:b/>
                <w:i w:val="0"/>
                <w:color w:val="FFFFFF"/>
                <w:kern w:val="0"/>
                <w:sz w:val="24"/>
                <w:szCs w:val="24"/>
                <w:u w:val="none"/>
                <w:lang w:val="en-US" w:eastAsia="zh-CN" w:bidi="ar"/>
              </w:rPr>
              <w:t>地区</w:t>
            </w:r>
          </w:p>
        </w:tc>
        <w:tc>
          <w:tcPr>
            <w:tcW w:w="1319" w:type="dxa"/>
            <w:tcBorders>
              <w:top w:val="single" w:color="auto" w:sz="8" w:space="0"/>
              <w:left w:val="nil"/>
              <w:bottom w:val="nil"/>
              <w:right w:val="single" w:color="auto" w:sz="8" w:space="0"/>
            </w:tcBorders>
            <w:shd w:val="clear" w:color="000000" w:fill="00B05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FFFFFF"/>
                <w:sz w:val="24"/>
                <w:szCs w:val="24"/>
                <w:u w:val="none"/>
              </w:rPr>
            </w:pPr>
            <w:r>
              <w:rPr>
                <w:rFonts w:hint="eastAsia" w:ascii="仿宋" w:hAnsi="仿宋" w:eastAsia="仿宋" w:cs="仿宋"/>
                <w:b/>
                <w:i w:val="0"/>
                <w:color w:val="FFFFFF"/>
                <w:kern w:val="0"/>
                <w:sz w:val="24"/>
                <w:szCs w:val="24"/>
                <w:u w:val="none"/>
                <w:lang w:val="en-US" w:eastAsia="zh-CN" w:bidi="ar"/>
              </w:rPr>
              <w:t>就业人数</w:t>
            </w:r>
          </w:p>
        </w:tc>
        <w:tc>
          <w:tcPr>
            <w:tcW w:w="2104" w:type="dxa"/>
            <w:tcBorders>
              <w:top w:val="single" w:color="auto" w:sz="8" w:space="0"/>
              <w:left w:val="nil"/>
              <w:bottom w:val="nil"/>
              <w:right w:val="single" w:color="auto" w:sz="8" w:space="0"/>
            </w:tcBorders>
            <w:shd w:val="clear" w:color="000000" w:fill="00B05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FFFFFF"/>
                <w:sz w:val="24"/>
                <w:szCs w:val="24"/>
                <w:u w:val="none"/>
              </w:rPr>
            </w:pPr>
            <w:r>
              <w:rPr>
                <w:rFonts w:hint="eastAsia" w:ascii="仿宋" w:hAnsi="仿宋" w:eastAsia="仿宋" w:cs="仿宋"/>
                <w:b/>
                <w:i w:val="0"/>
                <w:color w:val="FFFFFF"/>
                <w:kern w:val="0"/>
                <w:sz w:val="24"/>
                <w:szCs w:val="24"/>
                <w:u w:val="none"/>
                <w:lang w:val="en-US" w:eastAsia="zh-CN" w:bidi="ar"/>
              </w:rPr>
              <w:t>比例（%）</w:t>
            </w:r>
          </w:p>
        </w:tc>
      </w:tr>
      <w:tr>
        <w:tblPrEx>
          <w:tblCellMar>
            <w:top w:w="0" w:type="dxa"/>
            <w:left w:w="0" w:type="dxa"/>
            <w:bottom w:w="0" w:type="dxa"/>
            <w:right w:w="0" w:type="dxa"/>
          </w:tblCellMar>
        </w:tblPrEx>
        <w:trPr>
          <w:trHeight w:val="526" w:hRule="exact"/>
        </w:trPr>
        <w:tc>
          <w:tcPr>
            <w:tcW w:w="1067" w:type="dxa"/>
            <w:tcBorders>
              <w:top w:val="single" w:color="auto" w:sz="8" w:space="0"/>
              <w:left w:val="single" w:color="auto" w:sz="8" w:space="0"/>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安徽</w:t>
            </w:r>
          </w:p>
        </w:tc>
        <w:tc>
          <w:tcPr>
            <w:tcW w:w="1291" w:type="dxa"/>
            <w:tcBorders>
              <w:top w:val="single" w:color="auto" w:sz="8" w:space="0"/>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6</w:t>
            </w:r>
          </w:p>
        </w:tc>
        <w:tc>
          <w:tcPr>
            <w:tcW w:w="1358" w:type="dxa"/>
            <w:tcBorders>
              <w:top w:val="single" w:color="auto" w:sz="8" w:space="0"/>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0.22</w:t>
            </w:r>
          </w:p>
        </w:tc>
        <w:tc>
          <w:tcPr>
            <w:tcW w:w="1441" w:type="dxa"/>
            <w:tcBorders>
              <w:top w:val="single" w:color="auto" w:sz="8" w:space="0"/>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江西</w:t>
            </w:r>
          </w:p>
        </w:tc>
        <w:tc>
          <w:tcPr>
            <w:tcW w:w="1319" w:type="dxa"/>
            <w:tcBorders>
              <w:top w:val="single" w:color="auto" w:sz="8" w:space="0"/>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21</w:t>
            </w:r>
          </w:p>
        </w:tc>
        <w:tc>
          <w:tcPr>
            <w:tcW w:w="2104" w:type="dxa"/>
            <w:tcBorders>
              <w:top w:val="single" w:color="auto" w:sz="8" w:space="0"/>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0.77</w:t>
            </w:r>
          </w:p>
        </w:tc>
      </w:tr>
      <w:tr>
        <w:tblPrEx>
          <w:tblCellMar>
            <w:top w:w="0" w:type="dxa"/>
            <w:left w:w="0" w:type="dxa"/>
            <w:bottom w:w="0" w:type="dxa"/>
            <w:right w:w="0" w:type="dxa"/>
          </w:tblCellMar>
        </w:tblPrEx>
        <w:trPr>
          <w:trHeight w:val="526" w:hRule="exact"/>
        </w:trPr>
        <w:tc>
          <w:tcPr>
            <w:tcW w:w="1067" w:type="dxa"/>
            <w:tcBorders>
              <w:top w:val="nil"/>
              <w:left w:val="single" w:color="auto" w:sz="8" w:space="0"/>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北京</w:t>
            </w:r>
          </w:p>
        </w:tc>
        <w:tc>
          <w:tcPr>
            <w:tcW w:w="1291"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46</w:t>
            </w:r>
          </w:p>
        </w:tc>
        <w:tc>
          <w:tcPr>
            <w:tcW w:w="1358"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1.68</w:t>
            </w:r>
          </w:p>
        </w:tc>
        <w:tc>
          <w:tcPr>
            <w:tcW w:w="1441"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辽宁</w:t>
            </w:r>
          </w:p>
        </w:tc>
        <w:tc>
          <w:tcPr>
            <w:tcW w:w="1319"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8</w:t>
            </w:r>
          </w:p>
        </w:tc>
        <w:tc>
          <w:tcPr>
            <w:tcW w:w="2104"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0.29</w:t>
            </w:r>
          </w:p>
        </w:tc>
      </w:tr>
      <w:tr>
        <w:tblPrEx>
          <w:tblCellMar>
            <w:top w:w="0" w:type="dxa"/>
            <w:left w:w="0" w:type="dxa"/>
            <w:bottom w:w="0" w:type="dxa"/>
            <w:right w:w="0" w:type="dxa"/>
          </w:tblCellMar>
        </w:tblPrEx>
        <w:trPr>
          <w:trHeight w:val="526" w:hRule="exact"/>
        </w:trPr>
        <w:tc>
          <w:tcPr>
            <w:tcW w:w="1067" w:type="dxa"/>
            <w:tcBorders>
              <w:top w:val="nil"/>
              <w:left w:val="single" w:color="auto" w:sz="8" w:space="0"/>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福建</w:t>
            </w:r>
          </w:p>
        </w:tc>
        <w:tc>
          <w:tcPr>
            <w:tcW w:w="1291"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18</w:t>
            </w:r>
          </w:p>
        </w:tc>
        <w:tc>
          <w:tcPr>
            <w:tcW w:w="1358"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0.66</w:t>
            </w:r>
          </w:p>
        </w:tc>
        <w:tc>
          <w:tcPr>
            <w:tcW w:w="1441"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山东</w:t>
            </w:r>
          </w:p>
        </w:tc>
        <w:tc>
          <w:tcPr>
            <w:tcW w:w="1319"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16</w:t>
            </w:r>
          </w:p>
        </w:tc>
        <w:tc>
          <w:tcPr>
            <w:tcW w:w="2104"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0.59</w:t>
            </w:r>
          </w:p>
        </w:tc>
      </w:tr>
      <w:tr>
        <w:tblPrEx>
          <w:tblCellMar>
            <w:top w:w="0" w:type="dxa"/>
            <w:left w:w="0" w:type="dxa"/>
            <w:bottom w:w="0" w:type="dxa"/>
            <w:right w:w="0" w:type="dxa"/>
          </w:tblCellMar>
        </w:tblPrEx>
        <w:trPr>
          <w:trHeight w:val="526" w:hRule="exact"/>
        </w:trPr>
        <w:tc>
          <w:tcPr>
            <w:tcW w:w="1067" w:type="dxa"/>
            <w:tcBorders>
              <w:top w:val="nil"/>
              <w:left w:val="single" w:color="auto" w:sz="8" w:space="0"/>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广东</w:t>
            </w:r>
          </w:p>
        </w:tc>
        <w:tc>
          <w:tcPr>
            <w:tcW w:w="1291"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388</w:t>
            </w:r>
          </w:p>
        </w:tc>
        <w:tc>
          <w:tcPr>
            <w:tcW w:w="1358"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14.21</w:t>
            </w:r>
          </w:p>
        </w:tc>
        <w:tc>
          <w:tcPr>
            <w:tcW w:w="1441"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山西</w:t>
            </w:r>
          </w:p>
        </w:tc>
        <w:tc>
          <w:tcPr>
            <w:tcW w:w="1319"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9</w:t>
            </w:r>
          </w:p>
        </w:tc>
        <w:tc>
          <w:tcPr>
            <w:tcW w:w="2104"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0.33</w:t>
            </w:r>
          </w:p>
        </w:tc>
      </w:tr>
      <w:tr>
        <w:tblPrEx>
          <w:tblCellMar>
            <w:top w:w="0" w:type="dxa"/>
            <w:left w:w="0" w:type="dxa"/>
            <w:bottom w:w="0" w:type="dxa"/>
            <w:right w:w="0" w:type="dxa"/>
          </w:tblCellMar>
        </w:tblPrEx>
        <w:trPr>
          <w:trHeight w:val="526" w:hRule="exact"/>
        </w:trPr>
        <w:tc>
          <w:tcPr>
            <w:tcW w:w="1067" w:type="dxa"/>
            <w:tcBorders>
              <w:top w:val="nil"/>
              <w:left w:val="single" w:color="auto" w:sz="8" w:space="0"/>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广西</w:t>
            </w:r>
          </w:p>
        </w:tc>
        <w:tc>
          <w:tcPr>
            <w:tcW w:w="1291"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17</w:t>
            </w:r>
          </w:p>
        </w:tc>
        <w:tc>
          <w:tcPr>
            <w:tcW w:w="1358"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0.62</w:t>
            </w:r>
          </w:p>
        </w:tc>
        <w:tc>
          <w:tcPr>
            <w:tcW w:w="1441"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陕西</w:t>
            </w:r>
          </w:p>
        </w:tc>
        <w:tc>
          <w:tcPr>
            <w:tcW w:w="1319"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19</w:t>
            </w:r>
          </w:p>
        </w:tc>
        <w:tc>
          <w:tcPr>
            <w:tcW w:w="2104"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0.7</w:t>
            </w:r>
          </w:p>
        </w:tc>
      </w:tr>
      <w:tr>
        <w:tblPrEx>
          <w:tblCellMar>
            <w:top w:w="0" w:type="dxa"/>
            <w:left w:w="0" w:type="dxa"/>
            <w:bottom w:w="0" w:type="dxa"/>
            <w:right w:w="0" w:type="dxa"/>
          </w:tblCellMar>
        </w:tblPrEx>
        <w:trPr>
          <w:trHeight w:val="526" w:hRule="exact"/>
        </w:trPr>
        <w:tc>
          <w:tcPr>
            <w:tcW w:w="1067" w:type="dxa"/>
            <w:tcBorders>
              <w:top w:val="nil"/>
              <w:left w:val="single" w:color="auto" w:sz="8" w:space="0"/>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贵州</w:t>
            </w:r>
          </w:p>
        </w:tc>
        <w:tc>
          <w:tcPr>
            <w:tcW w:w="1291"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11</w:t>
            </w:r>
          </w:p>
        </w:tc>
        <w:tc>
          <w:tcPr>
            <w:tcW w:w="1358"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0.4</w:t>
            </w:r>
          </w:p>
        </w:tc>
        <w:tc>
          <w:tcPr>
            <w:tcW w:w="1441"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上海</w:t>
            </w:r>
          </w:p>
        </w:tc>
        <w:tc>
          <w:tcPr>
            <w:tcW w:w="1319"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36</w:t>
            </w:r>
          </w:p>
        </w:tc>
        <w:tc>
          <w:tcPr>
            <w:tcW w:w="2104"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1.32</w:t>
            </w:r>
          </w:p>
        </w:tc>
      </w:tr>
      <w:tr>
        <w:tblPrEx>
          <w:tblCellMar>
            <w:top w:w="0" w:type="dxa"/>
            <w:left w:w="0" w:type="dxa"/>
            <w:bottom w:w="0" w:type="dxa"/>
            <w:right w:w="0" w:type="dxa"/>
          </w:tblCellMar>
        </w:tblPrEx>
        <w:trPr>
          <w:trHeight w:val="526" w:hRule="exact"/>
        </w:trPr>
        <w:tc>
          <w:tcPr>
            <w:tcW w:w="1067" w:type="dxa"/>
            <w:tcBorders>
              <w:top w:val="nil"/>
              <w:left w:val="single" w:color="auto" w:sz="8" w:space="0"/>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海南</w:t>
            </w:r>
          </w:p>
        </w:tc>
        <w:tc>
          <w:tcPr>
            <w:tcW w:w="1291"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15</w:t>
            </w:r>
          </w:p>
        </w:tc>
        <w:tc>
          <w:tcPr>
            <w:tcW w:w="1358"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0.55</w:t>
            </w:r>
          </w:p>
        </w:tc>
        <w:tc>
          <w:tcPr>
            <w:tcW w:w="1441"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四川</w:t>
            </w:r>
          </w:p>
        </w:tc>
        <w:tc>
          <w:tcPr>
            <w:tcW w:w="1319"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18</w:t>
            </w:r>
          </w:p>
        </w:tc>
        <w:tc>
          <w:tcPr>
            <w:tcW w:w="2104"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0.66</w:t>
            </w:r>
          </w:p>
        </w:tc>
      </w:tr>
      <w:tr>
        <w:tblPrEx>
          <w:tblCellMar>
            <w:top w:w="0" w:type="dxa"/>
            <w:left w:w="0" w:type="dxa"/>
            <w:bottom w:w="0" w:type="dxa"/>
            <w:right w:w="0" w:type="dxa"/>
          </w:tblCellMar>
        </w:tblPrEx>
        <w:trPr>
          <w:trHeight w:val="526" w:hRule="exact"/>
        </w:trPr>
        <w:tc>
          <w:tcPr>
            <w:tcW w:w="1067" w:type="dxa"/>
            <w:tcBorders>
              <w:top w:val="nil"/>
              <w:left w:val="single" w:color="auto" w:sz="8" w:space="0"/>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江苏</w:t>
            </w:r>
          </w:p>
        </w:tc>
        <w:tc>
          <w:tcPr>
            <w:tcW w:w="1291"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24</w:t>
            </w:r>
          </w:p>
        </w:tc>
        <w:tc>
          <w:tcPr>
            <w:tcW w:w="1358"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0.88</w:t>
            </w:r>
          </w:p>
        </w:tc>
        <w:tc>
          <w:tcPr>
            <w:tcW w:w="1441"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天津</w:t>
            </w:r>
          </w:p>
        </w:tc>
        <w:tc>
          <w:tcPr>
            <w:tcW w:w="1319"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w:t>
            </w:r>
          </w:p>
        </w:tc>
        <w:tc>
          <w:tcPr>
            <w:tcW w:w="2104" w:type="dxa"/>
            <w:tcBorders>
              <w:top w:val="nil"/>
              <w:left w:val="nil"/>
              <w:bottom w:val="single" w:color="auto" w:sz="8" w:space="0"/>
              <w:right w:val="single" w:color="auto" w:sz="8" w:space="0"/>
            </w:tcBorders>
            <w:shd w:val="clear" w:color="000000"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0.18</w:t>
            </w:r>
          </w:p>
        </w:tc>
      </w:tr>
      <w:tr>
        <w:tblPrEx>
          <w:tblCellMar>
            <w:top w:w="0" w:type="dxa"/>
            <w:left w:w="0" w:type="dxa"/>
            <w:bottom w:w="0" w:type="dxa"/>
            <w:right w:w="0" w:type="dxa"/>
          </w:tblCellMar>
        </w:tblPrEx>
        <w:trPr>
          <w:trHeight w:val="526" w:hRule="exact"/>
        </w:trPr>
        <w:tc>
          <w:tcPr>
            <w:tcW w:w="1067" w:type="dxa"/>
            <w:tcBorders>
              <w:top w:val="nil"/>
              <w:left w:val="single" w:color="auto" w:sz="8" w:space="0"/>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河南</w:t>
            </w:r>
          </w:p>
        </w:tc>
        <w:tc>
          <w:tcPr>
            <w:tcW w:w="1291"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9</w:t>
            </w:r>
          </w:p>
        </w:tc>
        <w:tc>
          <w:tcPr>
            <w:tcW w:w="1358"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0.33</w:t>
            </w:r>
          </w:p>
        </w:tc>
        <w:tc>
          <w:tcPr>
            <w:tcW w:w="1441"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西藏</w:t>
            </w:r>
          </w:p>
        </w:tc>
        <w:tc>
          <w:tcPr>
            <w:tcW w:w="1319"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w:t>
            </w:r>
          </w:p>
        </w:tc>
        <w:tc>
          <w:tcPr>
            <w:tcW w:w="2104"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0.07</w:t>
            </w:r>
          </w:p>
        </w:tc>
      </w:tr>
      <w:tr>
        <w:tblPrEx>
          <w:tblCellMar>
            <w:top w:w="0" w:type="dxa"/>
            <w:left w:w="0" w:type="dxa"/>
            <w:bottom w:w="0" w:type="dxa"/>
            <w:right w:w="0" w:type="dxa"/>
          </w:tblCellMar>
        </w:tblPrEx>
        <w:trPr>
          <w:trHeight w:val="526" w:hRule="exact"/>
        </w:trPr>
        <w:tc>
          <w:tcPr>
            <w:tcW w:w="1067" w:type="dxa"/>
            <w:tcBorders>
              <w:top w:val="nil"/>
              <w:left w:val="single" w:color="auto" w:sz="8" w:space="0"/>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黑龙江</w:t>
            </w:r>
          </w:p>
        </w:tc>
        <w:tc>
          <w:tcPr>
            <w:tcW w:w="1291"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w:t>
            </w:r>
          </w:p>
        </w:tc>
        <w:tc>
          <w:tcPr>
            <w:tcW w:w="1358"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0.18</w:t>
            </w:r>
          </w:p>
        </w:tc>
        <w:tc>
          <w:tcPr>
            <w:tcW w:w="1441"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浙江</w:t>
            </w:r>
          </w:p>
        </w:tc>
        <w:tc>
          <w:tcPr>
            <w:tcW w:w="1319"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66</w:t>
            </w:r>
          </w:p>
        </w:tc>
        <w:tc>
          <w:tcPr>
            <w:tcW w:w="2104"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2.42</w:t>
            </w:r>
          </w:p>
        </w:tc>
      </w:tr>
      <w:tr>
        <w:tblPrEx>
          <w:tblCellMar>
            <w:top w:w="0" w:type="dxa"/>
            <w:left w:w="0" w:type="dxa"/>
            <w:bottom w:w="0" w:type="dxa"/>
            <w:right w:w="0" w:type="dxa"/>
          </w:tblCellMar>
        </w:tblPrEx>
        <w:trPr>
          <w:trHeight w:val="526" w:hRule="exact"/>
        </w:trPr>
        <w:tc>
          <w:tcPr>
            <w:tcW w:w="1067" w:type="dxa"/>
            <w:tcBorders>
              <w:top w:val="nil"/>
              <w:left w:val="single" w:color="auto" w:sz="8" w:space="0"/>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湖北</w:t>
            </w:r>
          </w:p>
        </w:tc>
        <w:tc>
          <w:tcPr>
            <w:tcW w:w="1291"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44</w:t>
            </w:r>
          </w:p>
        </w:tc>
        <w:tc>
          <w:tcPr>
            <w:tcW w:w="1358"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1.61</w:t>
            </w:r>
          </w:p>
        </w:tc>
        <w:tc>
          <w:tcPr>
            <w:tcW w:w="1441"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云南</w:t>
            </w:r>
          </w:p>
        </w:tc>
        <w:tc>
          <w:tcPr>
            <w:tcW w:w="1319"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15</w:t>
            </w:r>
          </w:p>
        </w:tc>
        <w:tc>
          <w:tcPr>
            <w:tcW w:w="2104"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0.55</w:t>
            </w:r>
          </w:p>
        </w:tc>
      </w:tr>
      <w:tr>
        <w:tblPrEx>
          <w:tblCellMar>
            <w:top w:w="0" w:type="dxa"/>
            <w:left w:w="0" w:type="dxa"/>
            <w:bottom w:w="0" w:type="dxa"/>
            <w:right w:w="0" w:type="dxa"/>
          </w:tblCellMar>
        </w:tblPrEx>
        <w:trPr>
          <w:trHeight w:val="526" w:hRule="exact"/>
        </w:trPr>
        <w:tc>
          <w:tcPr>
            <w:tcW w:w="1067" w:type="dxa"/>
            <w:tcBorders>
              <w:top w:val="nil"/>
              <w:left w:val="single" w:color="auto" w:sz="8" w:space="0"/>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湖南</w:t>
            </w:r>
          </w:p>
        </w:tc>
        <w:tc>
          <w:tcPr>
            <w:tcW w:w="1291"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1586</w:t>
            </w:r>
          </w:p>
        </w:tc>
        <w:tc>
          <w:tcPr>
            <w:tcW w:w="1358"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58.1</w:t>
            </w:r>
          </w:p>
        </w:tc>
        <w:tc>
          <w:tcPr>
            <w:tcW w:w="1441"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青海</w:t>
            </w:r>
          </w:p>
        </w:tc>
        <w:tc>
          <w:tcPr>
            <w:tcW w:w="1319"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w:t>
            </w:r>
          </w:p>
        </w:tc>
        <w:tc>
          <w:tcPr>
            <w:tcW w:w="2104" w:type="dxa"/>
            <w:tcBorders>
              <w:top w:val="nil"/>
              <w:left w:val="nil"/>
              <w:bottom w:val="single" w:color="auto" w:sz="8" w:space="0"/>
              <w:right w:val="single" w:color="auto" w:sz="8" w:space="0"/>
            </w:tcBorders>
            <w:shd w:val="clear" w:color="000000"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0.18</w:t>
            </w:r>
          </w:p>
        </w:tc>
      </w:tr>
      <w:tr>
        <w:tblPrEx>
          <w:tblCellMar>
            <w:top w:w="0" w:type="dxa"/>
            <w:left w:w="0" w:type="dxa"/>
            <w:bottom w:w="0" w:type="dxa"/>
            <w:right w:w="0" w:type="dxa"/>
          </w:tblCellMar>
        </w:tblPrEx>
        <w:trPr>
          <w:trHeight w:val="526" w:hRule="exact"/>
        </w:trPr>
        <w:tc>
          <w:tcPr>
            <w:tcW w:w="1067" w:type="dxa"/>
            <w:tcBorders>
              <w:top w:val="nil"/>
              <w:left w:val="single" w:color="auto" w:sz="8" w:space="0"/>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吉林</w:t>
            </w:r>
          </w:p>
        </w:tc>
        <w:tc>
          <w:tcPr>
            <w:tcW w:w="1291"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w:t>
            </w:r>
          </w:p>
        </w:tc>
        <w:tc>
          <w:tcPr>
            <w:tcW w:w="1358"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0.11</w:t>
            </w:r>
          </w:p>
        </w:tc>
        <w:tc>
          <w:tcPr>
            <w:tcW w:w="1441"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重庆</w:t>
            </w:r>
          </w:p>
        </w:tc>
        <w:tc>
          <w:tcPr>
            <w:tcW w:w="1319"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8</w:t>
            </w:r>
          </w:p>
        </w:tc>
        <w:tc>
          <w:tcPr>
            <w:tcW w:w="2104"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0.29</w:t>
            </w:r>
          </w:p>
        </w:tc>
      </w:tr>
      <w:tr>
        <w:tblPrEx>
          <w:tblCellMar>
            <w:top w:w="0" w:type="dxa"/>
            <w:left w:w="0" w:type="dxa"/>
            <w:bottom w:w="0" w:type="dxa"/>
            <w:right w:w="0" w:type="dxa"/>
          </w:tblCellMar>
        </w:tblPrEx>
        <w:trPr>
          <w:trHeight w:val="526" w:hRule="exact"/>
        </w:trPr>
        <w:tc>
          <w:tcPr>
            <w:tcW w:w="1067" w:type="dxa"/>
            <w:tcBorders>
              <w:top w:val="nil"/>
              <w:left w:val="single" w:color="auto" w:sz="8" w:space="0"/>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甘肃</w:t>
            </w:r>
          </w:p>
        </w:tc>
        <w:tc>
          <w:tcPr>
            <w:tcW w:w="1291" w:type="dxa"/>
            <w:tcBorders>
              <w:top w:val="nil"/>
              <w:left w:val="nil"/>
              <w:bottom w:val="single" w:color="auto" w:sz="8" w:space="0"/>
              <w:right w:val="single" w:color="auto" w:sz="8" w:space="0"/>
            </w:tcBorders>
            <w:shd w:val="clear" w:color="000000"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w:t>
            </w:r>
          </w:p>
        </w:tc>
        <w:tc>
          <w:tcPr>
            <w:tcW w:w="1358" w:type="dxa"/>
            <w:tcBorders>
              <w:top w:val="nil"/>
              <w:left w:val="nil"/>
              <w:bottom w:val="single" w:color="auto" w:sz="8" w:space="0"/>
              <w:right w:val="single" w:color="auto" w:sz="8" w:space="0"/>
            </w:tcBorders>
            <w:shd w:val="clear" w:color="000000"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0.18</w:t>
            </w:r>
          </w:p>
        </w:tc>
        <w:tc>
          <w:tcPr>
            <w:tcW w:w="1441"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河北</w:t>
            </w:r>
          </w:p>
        </w:tc>
        <w:tc>
          <w:tcPr>
            <w:tcW w:w="1319" w:type="dxa"/>
            <w:tcBorders>
              <w:top w:val="nil"/>
              <w:left w:val="nil"/>
              <w:bottom w:val="single" w:color="auto" w:sz="8" w:space="0"/>
              <w:right w:val="single" w:color="auto" w:sz="8" w:space="0"/>
            </w:tcBorders>
            <w:shd w:val="clear" w:color="000000"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16</w:t>
            </w:r>
          </w:p>
        </w:tc>
        <w:tc>
          <w:tcPr>
            <w:tcW w:w="2104" w:type="dxa"/>
            <w:tcBorders>
              <w:top w:val="nil"/>
              <w:left w:val="nil"/>
              <w:bottom w:val="single" w:color="auto" w:sz="8" w:space="0"/>
              <w:right w:val="single" w:color="auto" w:sz="8" w:space="0"/>
            </w:tcBorders>
            <w:shd w:val="clear" w:color="000000" w:fill="FFFFFF"/>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0.59</w:t>
            </w:r>
          </w:p>
        </w:tc>
      </w:tr>
      <w:tr>
        <w:tblPrEx>
          <w:tblCellMar>
            <w:top w:w="0" w:type="dxa"/>
            <w:left w:w="0" w:type="dxa"/>
            <w:bottom w:w="0" w:type="dxa"/>
            <w:right w:w="0" w:type="dxa"/>
          </w:tblCellMar>
        </w:tblPrEx>
        <w:trPr>
          <w:trHeight w:val="526" w:hRule="exact"/>
        </w:trPr>
        <w:tc>
          <w:tcPr>
            <w:tcW w:w="1067" w:type="dxa"/>
            <w:tcBorders>
              <w:top w:val="nil"/>
              <w:left w:val="single" w:color="auto" w:sz="8" w:space="0"/>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内蒙古</w:t>
            </w:r>
          </w:p>
        </w:tc>
        <w:tc>
          <w:tcPr>
            <w:tcW w:w="1291" w:type="dxa"/>
            <w:tcBorders>
              <w:top w:val="nil"/>
              <w:left w:val="nil"/>
              <w:bottom w:val="single" w:color="auto" w:sz="8" w:space="0"/>
              <w:right w:val="single" w:color="auto" w:sz="8" w:space="0"/>
            </w:tcBorders>
            <w:shd w:val="clear" w:color="000000"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w:t>
            </w:r>
          </w:p>
        </w:tc>
        <w:tc>
          <w:tcPr>
            <w:tcW w:w="1358" w:type="dxa"/>
            <w:tcBorders>
              <w:top w:val="nil"/>
              <w:left w:val="nil"/>
              <w:bottom w:val="single" w:color="auto" w:sz="8" w:space="0"/>
              <w:right w:val="single" w:color="auto" w:sz="8" w:space="0"/>
            </w:tcBorders>
            <w:shd w:val="clear" w:color="000000"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0.15</w:t>
            </w:r>
          </w:p>
        </w:tc>
        <w:tc>
          <w:tcPr>
            <w:tcW w:w="1441"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宁夏</w:t>
            </w:r>
          </w:p>
        </w:tc>
        <w:tc>
          <w:tcPr>
            <w:tcW w:w="1319" w:type="dxa"/>
            <w:tcBorders>
              <w:top w:val="nil"/>
              <w:left w:val="nil"/>
              <w:bottom w:val="single" w:color="auto" w:sz="8" w:space="0"/>
              <w:right w:val="single" w:color="auto" w:sz="8" w:space="0"/>
            </w:tcBorders>
            <w:shd w:val="clear" w:color="000000"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10</w:t>
            </w:r>
          </w:p>
        </w:tc>
        <w:tc>
          <w:tcPr>
            <w:tcW w:w="2104" w:type="dxa"/>
            <w:tcBorders>
              <w:top w:val="nil"/>
              <w:left w:val="nil"/>
              <w:bottom w:val="single" w:color="auto" w:sz="8" w:space="0"/>
              <w:right w:val="single" w:color="auto" w:sz="8" w:space="0"/>
            </w:tcBorders>
            <w:shd w:val="clear" w:color="000000"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0.37</w:t>
            </w:r>
          </w:p>
        </w:tc>
      </w:tr>
      <w:tr>
        <w:tblPrEx>
          <w:tblCellMar>
            <w:top w:w="0" w:type="dxa"/>
            <w:left w:w="0" w:type="dxa"/>
            <w:bottom w:w="0" w:type="dxa"/>
            <w:right w:w="0" w:type="dxa"/>
          </w:tblCellMar>
        </w:tblPrEx>
        <w:trPr>
          <w:trHeight w:val="607" w:hRule="exact"/>
        </w:trPr>
        <w:tc>
          <w:tcPr>
            <w:tcW w:w="1067" w:type="dxa"/>
            <w:tcBorders>
              <w:top w:val="nil"/>
              <w:left w:val="single" w:color="auto" w:sz="8" w:space="0"/>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strike w:val="0"/>
                <w:dstrike w:val="0"/>
                <w:color w:val="000000"/>
                <w:sz w:val="24"/>
                <w:szCs w:val="24"/>
                <w:u w:val="none"/>
              </w:rPr>
            </w:pPr>
            <w:r>
              <w:rPr>
                <w:rFonts w:hint="eastAsia" w:ascii="仿宋" w:hAnsi="仿宋" w:eastAsia="仿宋" w:cs="仿宋"/>
                <w:b/>
                <w:i w:val="0"/>
                <w:strike w:val="0"/>
                <w:dstrike w:val="0"/>
                <w:color w:val="000000"/>
                <w:kern w:val="0"/>
                <w:sz w:val="24"/>
                <w:szCs w:val="24"/>
                <w:u w:val="none"/>
                <w:lang w:val="en-US" w:eastAsia="zh-CN" w:bidi="ar"/>
              </w:rPr>
              <w:t>新疆</w:t>
            </w:r>
          </w:p>
        </w:tc>
        <w:tc>
          <w:tcPr>
            <w:tcW w:w="1291" w:type="dxa"/>
            <w:tcBorders>
              <w:top w:val="nil"/>
              <w:left w:val="nil"/>
              <w:bottom w:val="single" w:color="auto" w:sz="8" w:space="0"/>
              <w:right w:val="single" w:color="auto" w:sz="8" w:space="0"/>
            </w:tcBorders>
            <w:shd w:val="clear" w:color="000000"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9</w:t>
            </w:r>
          </w:p>
        </w:tc>
        <w:tc>
          <w:tcPr>
            <w:tcW w:w="1358" w:type="dxa"/>
            <w:tcBorders>
              <w:top w:val="nil"/>
              <w:left w:val="nil"/>
              <w:bottom w:val="single" w:color="auto" w:sz="8" w:space="0"/>
              <w:right w:val="single" w:color="auto" w:sz="8" w:space="0"/>
            </w:tcBorders>
            <w:shd w:val="clear" w:color="000000" w:fill="CCC0DA"/>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0.33</w:t>
            </w:r>
          </w:p>
        </w:tc>
        <w:tc>
          <w:tcPr>
            <w:tcW w:w="1441" w:type="dxa"/>
            <w:tcBorders>
              <w:top w:val="nil"/>
              <w:left w:val="nil"/>
              <w:bottom w:val="single" w:color="auto" w:sz="8" w:space="0"/>
              <w:right w:val="single" w:color="auto" w:sz="8" w:space="0"/>
            </w:tcBorders>
            <w:shd w:val="clear" w:color="000000" w:fill="CCC0DA"/>
            <w:noWrap/>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　</w:t>
            </w:r>
          </w:p>
        </w:tc>
        <w:tc>
          <w:tcPr>
            <w:tcW w:w="1319" w:type="dxa"/>
            <w:tcBorders>
              <w:top w:val="nil"/>
              <w:left w:val="nil"/>
              <w:bottom w:val="single" w:color="auto" w:sz="8" w:space="0"/>
              <w:right w:val="single" w:color="auto" w:sz="8" w:space="0"/>
            </w:tcBorders>
            <w:shd w:val="clear" w:color="000000"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　</w:t>
            </w:r>
          </w:p>
        </w:tc>
        <w:tc>
          <w:tcPr>
            <w:tcW w:w="2104" w:type="dxa"/>
            <w:tcBorders>
              <w:top w:val="nil"/>
              <w:left w:val="nil"/>
              <w:bottom w:val="single" w:color="auto" w:sz="8" w:space="0"/>
              <w:right w:val="single" w:color="auto" w:sz="8" w:space="0"/>
            </w:tcBorders>
            <w:shd w:val="clear" w:color="000000" w:fill="CCC0DA"/>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strike w:val="0"/>
                <w:dstrike w:val="0"/>
                <w:color w:val="000000"/>
                <w:sz w:val="24"/>
                <w:szCs w:val="24"/>
                <w:u w:val="none"/>
              </w:rPr>
            </w:pPr>
            <w:r>
              <w:rPr>
                <w:rFonts w:hint="eastAsia" w:ascii="仿宋" w:hAnsi="仿宋" w:eastAsia="仿宋" w:cs="仿宋"/>
                <w:i w:val="0"/>
                <w:strike w:val="0"/>
                <w:dstrike w:val="0"/>
                <w:color w:val="000000"/>
                <w:kern w:val="0"/>
                <w:sz w:val="24"/>
                <w:szCs w:val="24"/>
                <w:u w:val="none"/>
                <w:lang w:val="en-US" w:eastAsia="zh-CN" w:bidi="ar"/>
              </w:rPr>
              <w:t>　</w:t>
            </w:r>
          </w:p>
        </w:tc>
      </w:tr>
    </w:tbl>
    <w:p>
      <w:pPr>
        <w:pStyle w:val="5"/>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仿宋" w:hAnsi="仿宋" w:eastAsia="仿宋" w:cs="仿宋"/>
          <w:b w:val="0"/>
          <w:color w:val="1F497D"/>
          <w:sz w:val="30"/>
          <w:szCs w:val="30"/>
        </w:rPr>
      </w:pPr>
      <w:bookmarkStart w:id="48" w:name="_Toc21126"/>
      <w:bookmarkStart w:id="49" w:name="_Toc5724"/>
      <w:r>
        <w:rPr>
          <w:rFonts w:hint="eastAsia" w:ascii="仿宋" w:hAnsi="仿宋" w:eastAsia="仿宋" w:cs="仿宋"/>
          <w:color w:val="1F497D"/>
          <w:sz w:val="30"/>
          <w:szCs w:val="30"/>
        </w:rPr>
        <w:t>2.3.2 单位行业流向</w:t>
      </w:r>
      <w:bookmarkEnd w:id="48"/>
      <w:bookmarkEnd w:id="49"/>
    </w:p>
    <w:p>
      <w:pPr>
        <w:ind w:firstLine="560" w:firstLineChars="200"/>
        <w:rPr>
          <w:rFonts w:hint="eastAsia" w:ascii="仿宋" w:hAnsi="仿宋" w:eastAsia="仿宋" w:cs="仿宋"/>
          <w:sz w:val="28"/>
          <w:szCs w:val="28"/>
        </w:rPr>
      </w:pPr>
      <w:r>
        <w:rPr>
          <w:rFonts w:hint="eastAsia" w:ascii="仿宋" w:hAnsi="仿宋" w:eastAsia="仿宋" w:cs="仿宋"/>
          <w:color w:val="000000"/>
          <w:sz w:val="28"/>
          <w:szCs w:val="28"/>
        </w:rPr>
        <w:t>20</w:t>
      </w: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年，毕业生在</w:t>
      </w:r>
      <w:r>
        <w:rPr>
          <w:rFonts w:hint="eastAsia" w:ascii="仿宋" w:hAnsi="仿宋" w:eastAsia="仿宋" w:cs="仿宋"/>
          <w:color w:val="000000"/>
          <w:kern w:val="0"/>
          <w:sz w:val="28"/>
          <w:szCs w:val="28"/>
        </w:rPr>
        <w:t>教育</w:t>
      </w:r>
      <w:r>
        <w:rPr>
          <w:rFonts w:hint="eastAsia" w:ascii="仿宋" w:hAnsi="仿宋" w:eastAsia="仿宋" w:cs="仿宋"/>
          <w:color w:val="000000"/>
          <w:kern w:val="0"/>
          <w:sz w:val="28"/>
          <w:szCs w:val="28"/>
          <w:lang w:eastAsia="zh-CN"/>
        </w:rPr>
        <w:t>、</w:t>
      </w:r>
      <w:r>
        <w:rPr>
          <w:rFonts w:hint="eastAsia" w:ascii="仿宋" w:hAnsi="仿宋" w:eastAsia="仿宋" w:cs="仿宋"/>
          <w:color w:val="000000"/>
          <w:sz w:val="28"/>
          <w:szCs w:val="28"/>
        </w:rPr>
        <w:t>批发和零售业</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金融业、</w:t>
      </w:r>
      <w:r>
        <w:rPr>
          <w:rFonts w:hint="eastAsia" w:ascii="仿宋" w:hAnsi="仿宋" w:eastAsia="仿宋" w:cs="仿宋"/>
          <w:color w:val="000000"/>
          <w:kern w:val="0"/>
          <w:sz w:val="28"/>
          <w:szCs w:val="28"/>
        </w:rPr>
        <w:t>租赁和商务服务业、信息传输、软件和信息技术服务业</w:t>
      </w:r>
      <w:r>
        <w:rPr>
          <w:rFonts w:hint="eastAsia" w:ascii="仿宋" w:hAnsi="仿宋" w:eastAsia="仿宋" w:cs="仿宋"/>
          <w:color w:val="000000"/>
          <w:sz w:val="28"/>
          <w:szCs w:val="28"/>
        </w:rPr>
        <w:t>、建筑业等多个行业就业，</w:t>
      </w:r>
      <w:r>
        <w:rPr>
          <w:rFonts w:hint="eastAsia" w:ascii="仿宋" w:hAnsi="仿宋" w:eastAsia="仿宋" w:cs="仿宋"/>
          <w:color w:val="000000"/>
          <w:sz w:val="28"/>
          <w:szCs w:val="28"/>
          <w:lang w:eastAsia="zh-CN"/>
        </w:rPr>
        <w:t>就业行业由原来以</w:t>
      </w:r>
      <w:r>
        <w:rPr>
          <w:rFonts w:hint="eastAsia" w:ascii="仿宋" w:hAnsi="仿宋" w:eastAsia="仿宋" w:cs="仿宋"/>
          <w:color w:val="000000"/>
          <w:sz w:val="28"/>
          <w:szCs w:val="28"/>
        </w:rPr>
        <w:t>金融业为主要</w:t>
      </w:r>
      <w:r>
        <w:rPr>
          <w:rFonts w:hint="eastAsia" w:ascii="仿宋" w:hAnsi="仿宋" w:eastAsia="仿宋" w:cs="仿宋"/>
          <w:color w:val="000000"/>
          <w:sz w:val="28"/>
          <w:szCs w:val="28"/>
          <w:lang w:eastAsia="zh-CN"/>
        </w:rPr>
        <w:t>逐步向</w:t>
      </w:r>
      <w:r>
        <w:rPr>
          <w:rFonts w:hint="eastAsia" w:ascii="仿宋" w:hAnsi="仿宋" w:eastAsia="仿宋" w:cs="仿宋"/>
          <w:color w:val="000000"/>
          <w:kern w:val="0"/>
          <w:sz w:val="28"/>
          <w:szCs w:val="28"/>
        </w:rPr>
        <w:t>教育</w:t>
      </w:r>
      <w:r>
        <w:rPr>
          <w:rFonts w:hint="eastAsia" w:ascii="仿宋" w:hAnsi="仿宋" w:eastAsia="仿宋" w:cs="仿宋"/>
          <w:color w:val="000000"/>
          <w:kern w:val="0"/>
          <w:sz w:val="28"/>
          <w:szCs w:val="28"/>
          <w:lang w:eastAsia="zh-CN"/>
        </w:rPr>
        <w:t>、</w:t>
      </w:r>
      <w:r>
        <w:rPr>
          <w:rFonts w:hint="eastAsia" w:ascii="仿宋" w:hAnsi="仿宋" w:eastAsia="仿宋" w:cs="仿宋"/>
          <w:color w:val="000000"/>
          <w:sz w:val="28"/>
          <w:szCs w:val="28"/>
        </w:rPr>
        <w:t>批发和零售业</w:t>
      </w:r>
      <w:r>
        <w:rPr>
          <w:rFonts w:hint="eastAsia" w:ascii="仿宋" w:hAnsi="仿宋" w:eastAsia="仿宋" w:cs="仿宋"/>
          <w:color w:val="000000"/>
          <w:sz w:val="28"/>
          <w:szCs w:val="28"/>
          <w:lang w:eastAsia="zh-CN"/>
        </w:rPr>
        <w:t>以及</w:t>
      </w:r>
      <w:r>
        <w:rPr>
          <w:rFonts w:hint="eastAsia" w:ascii="仿宋" w:hAnsi="仿宋" w:eastAsia="仿宋" w:cs="仿宋"/>
          <w:color w:val="000000"/>
          <w:sz w:val="28"/>
          <w:szCs w:val="28"/>
        </w:rPr>
        <w:t>信息传输、软件和信息技术服务</w:t>
      </w:r>
      <w:r>
        <w:rPr>
          <w:rFonts w:hint="eastAsia" w:ascii="仿宋" w:hAnsi="仿宋" w:eastAsia="仿宋" w:cs="仿宋"/>
          <w:color w:val="000000"/>
          <w:sz w:val="28"/>
          <w:szCs w:val="28"/>
          <w:lang w:eastAsia="zh-CN"/>
        </w:rPr>
        <w:t>等行</w:t>
      </w:r>
      <w:r>
        <w:rPr>
          <w:rFonts w:hint="eastAsia" w:ascii="仿宋" w:hAnsi="仿宋" w:eastAsia="仿宋" w:cs="仿宋"/>
          <w:color w:val="000000"/>
          <w:sz w:val="28"/>
          <w:szCs w:val="28"/>
        </w:rPr>
        <w:t>业</w:t>
      </w:r>
      <w:r>
        <w:rPr>
          <w:rFonts w:hint="eastAsia" w:ascii="仿宋" w:hAnsi="仿宋" w:eastAsia="仿宋" w:cs="仿宋"/>
          <w:color w:val="000000"/>
          <w:sz w:val="28"/>
          <w:szCs w:val="28"/>
          <w:lang w:eastAsia="zh-CN"/>
        </w:rPr>
        <w:t>转变，</w:t>
      </w:r>
      <w:r>
        <w:rPr>
          <w:rFonts w:hint="eastAsia" w:ascii="仿宋" w:hAnsi="仿宋" w:eastAsia="仿宋" w:cs="仿宋"/>
          <w:color w:val="000000"/>
          <w:sz w:val="28"/>
          <w:szCs w:val="28"/>
        </w:rPr>
        <w:t>其中，教育业签约人数</w:t>
      </w:r>
      <w:r>
        <w:rPr>
          <w:rFonts w:hint="eastAsia" w:ascii="仿宋" w:hAnsi="仿宋" w:eastAsia="仿宋" w:cs="仿宋"/>
          <w:color w:val="000000"/>
          <w:sz w:val="28"/>
          <w:szCs w:val="28"/>
          <w:lang w:val="en-US" w:eastAsia="zh-CN"/>
        </w:rPr>
        <w:t>444</w:t>
      </w:r>
      <w:r>
        <w:rPr>
          <w:rFonts w:hint="eastAsia" w:ascii="仿宋" w:hAnsi="仿宋" w:eastAsia="仿宋" w:cs="仿宋"/>
          <w:color w:val="000000"/>
          <w:sz w:val="28"/>
          <w:szCs w:val="28"/>
        </w:rPr>
        <w:t>人，占签约总人数的</w:t>
      </w:r>
      <w:r>
        <w:rPr>
          <w:rFonts w:hint="eastAsia" w:ascii="仿宋" w:hAnsi="仿宋" w:eastAsia="仿宋" w:cs="仿宋"/>
          <w:color w:val="000000"/>
          <w:sz w:val="28"/>
          <w:szCs w:val="28"/>
          <w:lang w:val="en-US" w:eastAsia="zh-CN"/>
        </w:rPr>
        <w:t>18.14</w:t>
      </w:r>
      <w:r>
        <w:rPr>
          <w:rFonts w:hint="eastAsia" w:ascii="仿宋" w:hAnsi="仿宋" w:eastAsia="仿宋" w:cs="仿宋"/>
          <w:color w:val="000000"/>
          <w:sz w:val="28"/>
          <w:szCs w:val="28"/>
        </w:rPr>
        <w:t>%，批发和零售业</w:t>
      </w:r>
      <w:r>
        <w:rPr>
          <w:rFonts w:hint="eastAsia" w:ascii="仿宋" w:hAnsi="仿宋" w:eastAsia="仿宋" w:cs="仿宋"/>
          <w:color w:val="000000"/>
          <w:sz w:val="28"/>
          <w:szCs w:val="28"/>
          <w:lang w:val="en-US" w:eastAsia="zh-CN"/>
        </w:rPr>
        <w:t>356</w:t>
      </w:r>
      <w:r>
        <w:rPr>
          <w:rFonts w:hint="eastAsia" w:ascii="仿宋" w:hAnsi="仿宋" w:eastAsia="仿宋" w:cs="仿宋"/>
          <w:color w:val="000000"/>
          <w:sz w:val="28"/>
          <w:szCs w:val="28"/>
        </w:rPr>
        <w:t>人，占签约人数的14.</w:t>
      </w:r>
      <w:r>
        <w:rPr>
          <w:rFonts w:hint="eastAsia" w:ascii="仿宋" w:hAnsi="仿宋" w:eastAsia="仿宋" w:cs="仿宋"/>
          <w:color w:val="000000"/>
          <w:sz w:val="28"/>
          <w:szCs w:val="28"/>
          <w:lang w:val="en-US" w:eastAsia="zh-CN"/>
        </w:rPr>
        <w:t>55</w:t>
      </w:r>
      <w:r>
        <w:rPr>
          <w:rFonts w:hint="eastAsia" w:ascii="仿宋" w:hAnsi="仿宋" w:eastAsia="仿宋" w:cs="仿宋"/>
          <w:color w:val="000000"/>
          <w:sz w:val="28"/>
          <w:szCs w:val="28"/>
        </w:rPr>
        <w:t>%；金融行业签约人数25</w:t>
      </w:r>
      <w:r>
        <w:rPr>
          <w:rFonts w:hint="eastAsia" w:ascii="仿宋" w:hAnsi="仿宋" w:eastAsia="仿宋" w:cs="仿宋"/>
          <w:color w:val="000000"/>
          <w:sz w:val="28"/>
          <w:szCs w:val="28"/>
          <w:lang w:val="en-US" w:eastAsia="zh-CN"/>
        </w:rPr>
        <w:t>8</w:t>
      </w:r>
      <w:r>
        <w:rPr>
          <w:rFonts w:hint="eastAsia" w:ascii="仿宋" w:hAnsi="仿宋" w:eastAsia="仿宋" w:cs="仿宋"/>
          <w:color w:val="000000"/>
          <w:sz w:val="28"/>
          <w:szCs w:val="28"/>
        </w:rPr>
        <w:t>人，占签约总人数的1</w:t>
      </w:r>
      <w:r>
        <w:rPr>
          <w:rFonts w:hint="eastAsia" w:ascii="仿宋" w:hAnsi="仿宋" w:eastAsia="仿宋" w:cs="仿宋"/>
          <w:color w:val="000000"/>
          <w:sz w:val="28"/>
          <w:szCs w:val="28"/>
          <w:lang w:val="en-US" w:eastAsia="zh-CN"/>
        </w:rPr>
        <w:t>0.54</w:t>
      </w:r>
      <w:r>
        <w:rPr>
          <w:rFonts w:hint="eastAsia" w:ascii="仿宋" w:hAnsi="仿宋" w:eastAsia="仿宋" w:cs="仿宋"/>
          <w:color w:val="000000"/>
          <w:sz w:val="28"/>
          <w:szCs w:val="28"/>
        </w:rPr>
        <w:t>%；租赁</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商务服务业</w:t>
      </w:r>
      <w:r>
        <w:rPr>
          <w:rFonts w:hint="eastAsia" w:ascii="仿宋" w:hAnsi="仿宋" w:eastAsia="仿宋" w:cs="仿宋"/>
          <w:color w:val="000000"/>
          <w:sz w:val="28"/>
          <w:szCs w:val="28"/>
          <w:lang w:eastAsia="zh-CN"/>
        </w:rPr>
        <w:t>和</w:t>
      </w:r>
      <w:r>
        <w:rPr>
          <w:rFonts w:hint="eastAsia" w:ascii="仿宋" w:hAnsi="仿宋" w:eastAsia="仿宋" w:cs="仿宋"/>
          <w:color w:val="000000"/>
          <w:sz w:val="28"/>
          <w:szCs w:val="28"/>
        </w:rPr>
        <w:t>信息传输、软件和信息技术服务业</w:t>
      </w:r>
      <w:r>
        <w:rPr>
          <w:rFonts w:hint="eastAsia" w:ascii="仿宋" w:hAnsi="仿宋" w:eastAsia="仿宋" w:cs="仿宋"/>
          <w:color w:val="000000"/>
          <w:sz w:val="28"/>
          <w:szCs w:val="28"/>
          <w:lang w:eastAsia="zh-CN"/>
        </w:rPr>
        <w:t>各</w:t>
      </w:r>
      <w:r>
        <w:rPr>
          <w:rFonts w:hint="eastAsia" w:ascii="仿宋" w:hAnsi="仿宋" w:eastAsia="仿宋" w:cs="仿宋"/>
          <w:color w:val="000000"/>
          <w:sz w:val="28"/>
          <w:szCs w:val="28"/>
        </w:rPr>
        <w:t>签约人数</w:t>
      </w:r>
      <w:r>
        <w:rPr>
          <w:rFonts w:hint="eastAsia" w:ascii="仿宋" w:hAnsi="仿宋" w:eastAsia="仿宋" w:cs="仿宋"/>
          <w:color w:val="000000"/>
          <w:sz w:val="28"/>
          <w:szCs w:val="28"/>
          <w:lang w:val="en-US" w:eastAsia="zh-CN"/>
        </w:rPr>
        <w:t>252</w:t>
      </w:r>
      <w:r>
        <w:rPr>
          <w:rFonts w:hint="eastAsia" w:ascii="仿宋" w:hAnsi="仿宋" w:eastAsia="仿宋" w:cs="仿宋"/>
          <w:color w:val="000000"/>
          <w:sz w:val="28"/>
          <w:szCs w:val="28"/>
        </w:rPr>
        <w:t>人，占签约人数的</w:t>
      </w:r>
      <w:r>
        <w:rPr>
          <w:rFonts w:hint="eastAsia" w:ascii="仿宋" w:hAnsi="仿宋" w:eastAsia="仿宋" w:cs="仿宋"/>
          <w:color w:val="000000"/>
          <w:sz w:val="28"/>
          <w:szCs w:val="28"/>
          <w:lang w:val="en-US" w:eastAsia="zh-CN"/>
        </w:rPr>
        <w:t>10.30</w:t>
      </w:r>
      <w:r>
        <w:rPr>
          <w:rFonts w:hint="eastAsia" w:ascii="仿宋" w:hAnsi="仿宋" w:eastAsia="仿宋" w:cs="仿宋"/>
          <w:color w:val="000000"/>
          <w:sz w:val="28"/>
          <w:szCs w:val="28"/>
        </w:rPr>
        <w:t>%；建筑业签约</w:t>
      </w:r>
      <w:r>
        <w:rPr>
          <w:rFonts w:hint="eastAsia" w:ascii="仿宋" w:hAnsi="仿宋" w:eastAsia="仿宋" w:cs="仿宋"/>
          <w:color w:val="000000"/>
          <w:sz w:val="28"/>
          <w:szCs w:val="28"/>
          <w:lang w:val="en-US" w:eastAsia="zh-CN"/>
        </w:rPr>
        <w:t>241</w:t>
      </w:r>
      <w:r>
        <w:rPr>
          <w:rFonts w:hint="eastAsia" w:ascii="仿宋" w:hAnsi="仿宋" w:eastAsia="仿宋" w:cs="仿宋"/>
          <w:color w:val="000000"/>
          <w:sz w:val="28"/>
          <w:szCs w:val="28"/>
        </w:rPr>
        <w:t>人，占签约总人数的</w:t>
      </w:r>
      <w:r>
        <w:rPr>
          <w:rFonts w:hint="eastAsia" w:ascii="仿宋" w:hAnsi="仿宋" w:eastAsia="仿宋" w:cs="仿宋"/>
          <w:color w:val="000000"/>
          <w:sz w:val="28"/>
          <w:szCs w:val="28"/>
          <w:lang w:val="en-US" w:eastAsia="zh-CN"/>
        </w:rPr>
        <w:t>9.85</w:t>
      </w:r>
      <w:r>
        <w:rPr>
          <w:rFonts w:hint="eastAsia" w:ascii="仿宋" w:hAnsi="仿宋" w:eastAsia="仿宋" w:cs="仿宋"/>
          <w:color w:val="000000"/>
          <w:sz w:val="28"/>
          <w:szCs w:val="28"/>
        </w:rPr>
        <w:t>%；</w:t>
      </w:r>
      <w:r>
        <w:rPr>
          <w:rFonts w:hint="eastAsia" w:ascii="仿宋" w:hAnsi="仿宋" w:eastAsia="仿宋" w:cs="仿宋"/>
          <w:sz w:val="28"/>
          <w:szCs w:val="28"/>
        </w:rPr>
        <w:t>近年来，随着学校就业引导工作的深入开展，学生就业多元化发展的趋势越来越明显，进入服务性行业</w:t>
      </w:r>
      <w:r>
        <w:rPr>
          <w:rFonts w:hint="eastAsia" w:ascii="仿宋" w:hAnsi="仿宋" w:eastAsia="仿宋" w:cs="仿宋"/>
          <w:bCs/>
          <w:color w:val="000000"/>
          <w:sz w:val="28"/>
          <w:szCs w:val="28"/>
        </w:rPr>
        <w:t>、民营企业</w:t>
      </w:r>
      <w:r>
        <w:rPr>
          <w:rFonts w:hint="eastAsia" w:ascii="仿宋" w:hAnsi="仿宋" w:eastAsia="仿宋" w:cs="仿宋"/>
          <w:bCs/>
          <w:color w:val="000000"/>
          <w:sz w:val="28"/>
          <w:szCs w:val="28"/>
          <w:lang w:eastAsia="zh-CN"/>
        </w:rPr>
        <w:t>、中小微企业</w:t>
      </w:r>
      <w:r>
        <w:rPr>
          <w:rFonts w:hint="eastAsia" w:ascii="仿宋" w:hAnsi="仿宋" w:eastAsia="仿宋" w:cs="仿宋"/>
          <w:bCs/>
          <w:color w:val="000000"/>
          <w:sz w:val="28"/>
          <w:szCs w:val="28"/>
        </w:rPr>
        <w:t>及基层岗位就业的</w:t>
      </w:r>
      <w:r>
        <w:rPr>
          <w:rFonts w:hint="eastAsia" w:ascii="仿宋" w:hAnsi="仿宋" w:eastAsia="仿宋" w:cs="仿宋"/>
          <w:sz w:val="28"/>
          <w:szCs w:val="28"/>
        </w:rPr>
        <w:t>毕业生人数比例均有所提升。</w:t>
      </w:r>
      <w:r>
        <w:rPr>
          <w:rFonts w:hint="eastAsia" w:ascii="仿宋" w:hAnsi="仿宋" w:eastAsia="仿宋" w:cs="仿宋"/>
          <w:bCs/>
          <w:color w:val="000000"/>
          <w:sz w:val="28"/>
          <w:szCs w:val="28"/>
        </w:rPr>
        <w:t>80%以上毕业生在企业及基层岗位就业，</w:t>
      </w:r>
      <w:r>
        <w:rPr>
          <w:rFonts w:hint="eastAsia" w:ascii="仿宋" w:hAnsi="仿宋" w:eastAsia="仿宋" w:cs="仿宋"/>
          <w:sz w:val="28"/>
          <w:szCs w:val="28"/>
        </w:rPr>
        <w:t>具体情况见表2-5。</w:t>
      </w:r>
    </w:p>
    <w:p>
      <w:pPr>
        <w:jc w:val="center"/>
        <w:rPr>
          <w:rFonts w:hint="eastAsia" w:ascii="仿宋" w:hAnsi="仿宋" w:eastAsia="仿宋" w:cs="仿宋"/>
          <w:b/>
          <w:color w:val="000000"/>
          <w:sz w:val="30"/>
          <w:szCs w:val="30"/>
        </w:rPr>
      </w:pPr>
      <w:r>
        <w:rPr>
          <w:rFonts w:hint="eastAsia" w:ascii="仿宋" w:hAnsi="仿宋" w:eastAsia="仿宋" w:cs="仿宋"/>
          <w:b/>
          <w:color w:val="000000"/>
          <w:sz w:val="30"/>
          <w:szCs w:val="30"/>
        </w:rPr>
        <w:t>表2-5  20</w:t>
      </w:r>
      <w:r>
        <w:rPr>
          <w:rFonts w:hint="eastAsia" w:ascii="仿宋" w:hAnsi="仿宋" w:eastAsia="仿宋" w:cs="仿宋"/>
          <w:b/>
          <w:color w:val="000000"/>
          <w:sz w:val="30"/>
          <w:szCs w:val="30"/>
          <w:lang w:val="en-US" w:eastAsia="zh-CN"/>
        </w:rPr>
        <w:t>20</w:t>
      </w:r>
      <w:r>
        <w:rPr>
          <w:rFonts w:hint="eastAsia" w:ascii="仿宋" w:hAnsi="仿宋" w:eastAsia="仿宋" w:cs="仿宋"/>
          <w:b/>
          <w:color w:val="000000"/>
          <w:sz w:val="30"/>
          <w:szCs w:val="30"/>
        </w:rPr>
        <w:t>届毕业生就业单位行业人数统计表</w:t>
      </w:r>
    </w:p>
    <w:p>
      <w:pPr>
        <w:jc w:val="center"/>
        <w:rPr>
          <w:rFonts w:hint="eastAsia" w:ascii="仿宋" w:hAnsi="仿宋" w:eastAsia="仿宋" w:cs="仿宋"/>
          <w:b/>
          <w:sz w:val="24"/>
          <w:szCs w:val="24"/>
        </w:rPr>
      </w:pPr>
      <w:r>
        <w:rPr>
          <w:rFonts w:hint="eastAsia" w:ascii="仿宋" w:hAnsi="仿宋" w:eastAsia="仿宋" w:cs="仿宋"/>
          <w:b/>
          <w:sz w:val="24"/>
          <w:szCs w:val="24"/>
        </w:rPr>
        <w:t>（不含升学、出国出境）</w:t>
      </w:r>
    </w:p>
    <w:tbl>
      <w:tblPr>
        <w:tblStyle w:val="18"/>
        <w:tblW w:w="8360" w:type="dxa"/>
        <w:jc w:val="center"/>
        <w:shd w:val="clear" w:color="auto" w:fill="auto"/>
        <w:tblLayout w:type="fixed"/>
        <w:tblCellMar>
          <w:top w:w="0" w:type="dxa"/>
          <w:left w:w="0" w:type="dxa"/>
          <w:bottom w:w="0" w:type="dxa"/>
          <w:right w:w="0" w:type="dxa"/>
        </w:tblCellMar>
      </w:tblPr>
      <w:tblGrid>
        <w:gridCol w:w="3957"/>
        <w:gridCol w:w="1112"/>
        <w:gridCol w:w="3291"/>
      </w:tblGrid>
      <w:tr>
        <w:tblPrEx>
          <w:shd w:val="clear" w:color="auto" w:fill="auto"/>
          <w:tblCellMar>
            <w:top w:w="0" w:type="dxa"/>
            <w:left w:w="0" w:type="dxa"/>
            <w:bottom w:w="0" w:type="dxa"/>
            <w:right w:w="0" w:type="dxa"/>
          </w:tblCellMar>
        </w:tblPrEx>
        <w:trPr>
          <w:trHeight w:val="587" w:hRule="exact"/>
          <w:tblHeader/>
          <w:jc w:val="center"/>
        </w:trPr>
        <w:tc>
          <w:tcPr>
            <w:tcW w:w="3957" w:type="dxa"/>
            <w:tcBorders>
              <w:top w:val="single" w:color="8064A2" w:sz="8" w:space="0"/>
              <w:left w:val="single" w:color="8064A2" w:sz="8" w:space="0"/>
              <w:bottom w:val="single" w:color="FFFFFF" w:sz="8" w:space="0"/>
              <w:right w:val="nil"/>
            </w:tcBorders>
            <w:shd w:val="clear" w:color="000000" w:fill="00B0F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eastAsia" w:ascii="仿宋" w:hAnsi="仿宋" w:eastAsia="仿宋" w:cs="仿宋"/>
                <w:b/>
                <w:i w:val="0"/>
                <w:strike w:val="0"/>
                <w:dstrike w:val="0"/>
                <w:color w:val="FFFFFF"/>
                <w:sz w:val="28"/>
                <w:szCs w:val="28"/>
                <w:u w:val="none"/>
              </w:rPr>
            </w:pPr>
            <w:r>
              <w:rPr>
                <w:rFonts w:hint="eastAsia" w:ascii="仿宋" w:hAnsi="仿宋" w:eastAsia="仿宋" w:cs="仿宋"/>
                <w:b/>
                <w:i w:val="0"/>
                <w:strike w:val="0"/>
                <w:dstrike w:val="0"/>
                <w:color w:val="FFFFFF"/>
                <w:kern w:val="0"/>
                <w:sz w:val="28"/>
                <w:szCs w:val="28"/>
                <w:u w:val="none"/>
                <w:lang w:val="en-US" w:eastAsia="zh-CN" w:bidi="ar"/>
              </w:rPr>
              <w:t>行业类别</w:t>
            </w:r>
          </w:p>
        </w:tc>
        <w:tc>
          <w:tcPr>
            <w:tcW w:w="1112" w:type="dxa"/>
            <w:tcBorders>
              <w:top w:val="single" w:color="8064A2" w:sz="8" w:space="0"/>
              <w:left w:val="single" w:color="8064A2" w:sz="8" w:space="0"/>
              <w:bottom w:val="single" w:color="FFFFFF" w:sz="8" w:space="0"/>
              <w:right w:val="nil"/>
            </w:tcBorders>
            <w:shd w:val="clear" w:color="000000" w:fill="00B0F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eastAsia" w:ascii="仿宋" w:hAnsi="仿宋" w:eastAsia="仿宋" w:cs="仿宋"/>
                <w:b/>
                <w:i w:val="0"/>
                <w:strike w:val="0"/>
                <w:dstrike w:val="0"/>
                <w:color w:val="FFFFFF"/>
                <w:sz w:val="28"/>
                <w:szCs w:val="28"/>
                <w:u w:val="none"/>
              </w:rPr>
            </w:pPr>
            <w:r>
              <w:rPr>
                <w:rFonts w:hint="eastAsia" w:ascii="仿宋" w:hAnsi="仿宋" w:eastAsia="仿宋" w:cs="仿宋"/>
                <w:b/>
                <w:i w:val="0"/>
                <w:strike w:val="0"/>
                <w:dstrike w:val="0"/>
                <w:color w:val="FFFFFF"/>
                <w:kern w:val="0"/>
                <w:sz w:val="28"/>
                <w:szCs w:val="28"/>
                <w:u w:val="none"/>
                <w:lang w:val="en-US" w:eastAsia="zh-CN" w:bidi="ar"/>
              </w:rPr>
              <w:t>就业人数</w:t>
            </w:r>
          </w:p>
        </w:tc>
        <w:tc>
          <w:tcPr>
            <w:tcW w:w="3291" w:type="dxa"/>
            <w:tcBorders>
              <w:top w:val="single" w:color="8064A2" w:sz="8" w:space="0"/>
              <w:left w:val="single" w:color="8064A2" w:sz="8" w:space="0"/>
              <w:bottom w:val="single" w:color="FFFFFF" w:sz="8" w:space="0"/>
              <w:right w:val="single" w:color="8064A2" w:sz="8" w:space="0"/>
            </w:tcBorders>
            <w:shd w:val="clear" w:color="000000" w:fill="00B0F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eastAsia" w:ascii="仿宋" w:hAnsi="仿宋" w:eastAsia="仿宋" w:cs="仿宋"/>
                <w:b/>
                <w:i w:val="0"/>
                <w:strike w:val="0"/>
                <w:dstrike w:val="0"/>
                <w:color w:val="FFFFFF"/>
                <w:sz w:val="28"/>
                <w:szCs w:val="28"/>
                <w:u w:val="none"/>
              </w:rPr>
            </w:pPr>
            <w:r>
              <w:rPr>
                <w:rFonts w:hint="eastAsia" w:ascii="仿宋" w:hAnsi="仿宋" w:eastAsia="仿宋" w:cs="仿宋"/>
                <w:b/>
                <w:i w:val="0"/>
                <w:strike w:val="0"/>
                <w:dstrike w:val="0"/>
                <w:color w:val="FFFFFF"/>
                <w:kern w:val="0"/>
                <w:sz w:val="28"/>
                <w:szCs w:val="28"/>
                <w:u w:val="none"/>
                <w:lang w:val="en-US" w:eastAsia="zh-CN" w:bidi="ar"/>
              </w:rPr>
              <w:t>所占就业行业总数比例（%）</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采矿业</w:t>
            </w:r>
          </w:p>
        </w:tc>
        <w:tc>
          <w:tcPr>
            <w:tcW w:w="1112"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3291"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0.04</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电力、热力、燃气及水生产和供应业</w:t>
            </w:r>
          </w:p>
        </w:tc>
        <w:tc>
          <w:tcPr>
            <w:tcW w:w="1112"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25</w:t>
            </w:r>
          </w:p>
        </w:tc>
        <w:tc>
          <w:tcPr>
            <w:tcW w:w="3291"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1.02</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房地产业</w:t>
            </w:r>
          </w:p>
        </w:tc>
        <w:tc>
          <w:tcPr>
            <w:tcW w:w="1112"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99</w:t>
            </w:r>
          </w:p>
        </w:tc>
        <w:tc>
          <w:tcPr>
            <w:tcW w:w="3291"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4.05</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公共管理、社会保障和社会组织</w:t>
            </w:r>
          </w:p>
        </w:tc>
        <w:tc>
          <w:tcPr>
            <w:tcW w:w="1112"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65</w:t>
            </w:r>
          </w:p>
        </w:tc>
        <w:tc>
          <w:tcPr>
            <w:tcW w:w="3291"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2.66</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建筑业</w:t>
            </w:r>
          </w:p>
        </w:tc>
        <w:tc>
          <w:tcPr>
            <w:tcW w:w="1112"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241</w:t>
            </w:r>
          </w:p>
        </w:tc>
        <w:tc>
          <w:tcPr>
            <w:tcW w:w="3291"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9.85</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交通运输、仓储和邮政业</w:t>
            </w:r>
          </w:p>
        </w:tc>
        <w:tc>
          <w:tcPr>
            <w:tcW w:w="1112"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46</w:t>
            </w:r>
          </w:p>
        </w:tc>
        <w:tc>
          <w:tcPr>
            <w:tcW w:w="3291"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1.88</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教育</w:t>
            </w:r>
          </w:p>
        </w:tc>
        <w:tc>
          <w:tcPr>
            <w:tcW w:w="1112"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444</w:t>
            </w:r>
          </w:p>
        </w:tc>
        <w:tc>
          <w:tcPr>
            <w:tcW w:w="3291"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18.14</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金融业</w:t>
            </w:r>
          </w:p>
        </w:tc>
        <w:tc>
          <w:tcPr>
            <w:tcW w:w="1112"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258</w:t>
            </w:r>
          </w:p>
        </w:tc>
        <w:tc>
          <w:tcPr>
            <w:tcW w:w="3291"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10.54</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居民服务、修理和其他服务业</w:t>
            </w:r>
          </w:p>
        </w:tc>
        <w:tc>
          <w:tcPr>
            <w:tcW w:w="1112"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37</w:t>
            </w:r>
          </w:p>
        </w:tc>
        <w:tc>
          <w:tcPr>
            <w:tcW w:w="3291"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1.51</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军队</w:t>
            </w:r>
          </w:p>
        </w:tc>
        <w:tc>
          <w:tcPr>
            <w:tcW w:w="1112"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13</w:t>
            </w:r>
          </w:p>
        </w:tc>
        <w:tc>
          <w:tcPr>
            <w:tcW w:w="3291"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0.53</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科学研究和技术服务业</w:t>
            </w:r>
          </w:p>
        </w:tc>
        <w:tc>
          <w:tcPr>
            <w:tcW w:w="1112"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36</w:t>
            </w:r>
          </w:p>
        </w:tc>
        <w:tc>
          <w:tcPr>
            <w:tcW w:w="3291"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1.47</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农、林、牧、渔业</w:t>
            </w:r>
          </w:p>
        </w:tc>
        <w:tc>
          <w:tcPr>
            <w:tcW w:w="1112"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47</w:t>
            </w:r>
          </w:p>
        </w:tc>
        <w:tc>
          <w:tcPr>
            <w:tcW w:w="3291"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1.92</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批发和零售业</w:t>
            </w:r>
          </w:p>
        </w:tc>
        <w:tc>
          <w:tcPr>
            <w:tcW w:w="1112"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356</w:t>
            </w:r>
          </w:p>
        </w:tc>
        <w:tc>
          <w:tcPr>
            <w:tcW w:w="3291"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14.55</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水利、环境和公共设施管理业</w:t>
            </w:r>
          </w:p>
        </w:tc>
        <w:tc>
          <w:tcPr>
            <w:tcW w:w="1112"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c>
          <w:tcPr>
            <w:tcW w:w="3291"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0.2</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卫生和社会工作</w:t>
            </w:r>
          </w:p>
        </w:tc>
        <w:tc>
          <w:tcPr>
            <w:tcW w:w="1112"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14</w:t>
            </w:r>
          </w:p>
        </w:tc>
        <w:tc>
          <w:tcPr>
            <w:tcW w:w="3291"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0.57</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文化、体育和娱乐业</w:t>
            </w:r>
          </w:p>
        </w:tc>
        <w:tc>
          <w:tcPr>
            <w:tcW w:w="1112"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91</w:t>
            </w:r>
          </w:p>
        </w:tc>
        <w:tc>
          <w:tcPr>
            <w:tcW w:w="3291"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3.72</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信息传输、软件和信息技术服务业</w:t>
            </w:r>
          </w:p>
        </w:tc>
        <w:tc>
          <w:tcPr>
            <w:tcW w:w="1112"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252</w:t>
            </w:r>
          </w:p>
        </w:tc>
        <w:tc>
          <w:tcPr>
            <w:tcW w:w="3291"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10.3</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制造业</w:t>
            </w:r>
          </w:p>
        </w:tc>
        <w:tc>
          <w:tcPr>
            <w:tcW w:w="1112"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140</w:t>
            </w:r>
          </w:p>
        </w:tc>
        <w:tc>
          <w:tcPr>
            <w:tcW w:w="3291"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5.72</w:t>
            </w:r>
          </w:p>
        </w:tc>
      </w:tr>
      <w:tr>
        <w:tblPrEx>
          <w:tblCellMar>
            <w:top w:w="0" w:type="dxa"/>
            <w:left w:w="0" w:type="dxa"/>
            <w:bottom w:w="0" w:type="dxa"/>
            <w:right w:w="0" w:type="dxa"/>
          </w:tblCellMar>
        </w:tblPrEx>
        <w:trPr>
          <w:trHeight w:val="587" w:hRule="exact"/>
          <w:jc w:val="center"/>
        </w:trPr>
        <w:tc>
          <w:tcPr>
            <w:tcW w:w="3957"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住宿和餐饮业</w:t>
            </w:r>
          </w:p>
        </w:tc>
        <w:tc>
          <w:tcPr>
            <w:tcW w:w="1112"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25</w:t>
            </w:r>
          </w:p>
        </w:tc>
        <w:tc>
          <w:tcPr>
            <w:tcW w:w="3291" w:type="dxa"/>
            <w:tcBorders>
              <w:top w:val="single" w:color="auto" w:sz="4" w:space="0"/>
              <w:left w:val="single" w:color="auto" w:sz="4" w:space="0"/>
              <w:bottom w:val="single" w:color="auto" w:sz="4" w:space="0"/>
              <w:right w:val="single" w:color="auto" w:sz="4" w:space="0"/>
            </w:tcBorders>
            <w:shd w:val="clear" w:color="D7E4BC" w:fill="D7E4B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1.02</w:t>
            </w:r>
          </w:p>
        </w:tc>
      </w:tr>
      <w:tr>
        <w:tblPrEx>
          <w:tblCellMar>
            <w:top w:w="0" w:type="dxa"/>
            <w:left w:w="0" w:type="dxa"/>
            <w:bottom w:w="0" w:type="dxa"/>
            <w:right w:w="0" w:type="dxa"/>
          </w:tblCellMar>
        </w:tblPrEx>
        <w:trPr>
          <w:trHeight w:val="598" w:hRule="exact"/>
          <w:jc w:val="center"/>
        </w:trPr>
        <w:tc>
          <w:tcPr>
            <w:tcW w:w="3957"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租赁和商务服务业</w:t>
            </w:r>
          </w:p>
        </w:tc>
        <w:tc>
          <w:tcPr>
            <w:tcW w:w="1112"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252</w:t>
            </w:r>
          </w:p>
        </w:tc>
        <w:tc>
          <w:tcPr>
            <w:tcW w:w="3291" w:type="dxa"/>
            <w:tcBorders>
              <w:top w:val="single" w:color="auto" w:sz="4" w:space="0"/>
              <w:left w:val="single" w:color="auto" w:sz="4" w:space="0"/>
              <w:bottom w:val="single" w:color="auto" w:sz="4" w:space="0"/>
              <w:right w:val="single" w:color="auto" w:sz="4" w:space="0"/>
            </w:tcBorders>
            <w:shd w:val="clear" w:color="EAF1DD" w:fill="EAF1D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10.3</w:t>
            </w:r>
          </w:p>
        </w:tc>
      </w:tr>
    </w:tbl>
    <w:p>
      <w:pPr>
        <w:jc w:val="center"/>
        <w:rPr>
          <w:rFonts w:hint="eastAsia" w:ascii="仿宋" w:hAnsi="仿宋" w:eastAsia="仿宋" w:cs="仿宋"/>
          <w:b/>
          <w:sz w:val="24"/>
          <w:szCs w:val="24"/>
        </w:rPr>
      </w:pPr>
    </w:p>
    <w:p>
      <w:pPr>
        <w:pStyle w:val="5"/>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仿宋" w:hAnsi="仿宋" w:eastAsia="仿宋" w:cs="仿宋"/>
          <w:color w:val="1F497D"/>
          <w:sz w:val="30"/>
          <w:szCs w:val="30"/>
        </w:rPr>
      </w:pPr>
      <w:bookmarkStart w:id="50" w:name="_Toc16962"/>
      <w:bookmarkStart w:id="51" w:name="_Toc21820"/>
      <w:r>
        <w:rPr>
          <w:rFonts w:hint="eastAsia" w:ascii="仿宋" w:hAnsi="仿宋" w:eastAsia="仿宋" w:cs="仿宋"/>
          <w:color w:val="1F497D"/>
          <w:sz w:val="30"/>
          <w:szCs w:val="30"/>
        </w:rPr>
        <w:t>2.3.3 单位性质</w:t>
      </w:r>
      <w:bookmarkEnd w:id="50"/>
      <w:bookmarkEnd w:id="51"/>
    </w:p>
    <w:p>
      <w:pPr>
        <w:ind w:firstLine="560" w:firstLineChars="200"/>
        <w:jc w:val="both"/>
        <w:rPr>
          <w:rFonts w:hint="eastAsia" w:ascii="仿宋" w:hAnsi="仿宋" w:eastAsia="仿宋" w:cs="仿宋"/>
          <w:sz w:val="28"/>
          <w:szCs w:val="28"/>
        </w:rPr>
      </w:pPr>
      <w:r>
        <w:rPr>
          <w:rFonts w:hint="eastAsia" w:ascii="仿宋" w:hAnsi="仿宋" w:eastAsia="仿宋" w:cs="仿宋"/>
          <w:sz w:val="28"/>
          <w:szCs w:val="28"/>
        </w:rPr>
        <w:t>近年来，随着学校就业引导工作的深入开展，学生就业多元化发展的趋势越来越明显，进入服务性行业、股份制企业、</w:t>
      </w:r>
      <w:r>
        <w:rPr>
          <w:rFonts w:hint="eastAsia" w:ascii="仿宋" w:hAnsi="仿宋" w:eastAsia="仿宋" w:cs="仿宋"/>
          <w:bCs/>
          <w:color w:val="000000"/>
          <w:sz w:val="28"/>
          <w:szCs w:val="28"/>
        </w:rPr>
        <w:t>民营</w:t>
      </w:r>
      <w:r>
        <w:rPr>
          <w:rFonts w:hint="eastAsia" w:ascii="仿宋" w:hAnsi="仿宋" w:eastAsia="仿宋" w:cs="仿宋"/>
          <w:bCs/>
          <w:color w:val="000000"/>
          <w:sz w:val="28"/>
          <w:szCs w:val="28"/>
          <w:lang w:eastAsia="zh-CN"/>
        </w:rPr>
        <w:t>和中小微型</w:t>
      </w:r>
      <w:r>
        <w:rPr>
          <w:rFonts w:hint="eastAsia" w:ascii="仿宋" w:hAnsi="仿宋" w:eastAsia="仿宋" w:cs="仿宋"/>
          <w:sz w:val="28"/>
          <w:szCs w:val="28"/>
        </w:rPr>
        <w:t>等企事业单位毕业生人数比例以及出国继续深造人数均有所提升。其中，签约国有企业总人数3</w:t>
      </w:r>
      <w:r>
        <w:rPr>
          <w:rFonts w:hint="eastAsia" w:ascii="仿宋" w:hAnsi="仿宋" w:eastAsia="仿宋" w:cs="仿宋"/>
          <w:sz w:val="28"/>
          <w:szCs w:val="28"/>
          <w:lang w:val="en-US" w:eastAsia="zh-CN"/>
        </w:rPr>
        <w:t>81</w:t>
      </w:r>
      <w:r>
        <w:rPr>
          <w:rFonts w:hint="eastAsia" w:ascii="仿宋" w:hAnsi="仿宋" w:eastAsia="仿宋" w:cs="仿宋"/>
          <w:sz w:val="28"/>
          <w:szCs w:val="28"/>
        </w:rPr>
        <w:t>人，占1</w:t>
      </w:r>
      <w:r>
        <w:rPr>
          <w:rFonts w:hint="eastAsia" w:ascii="仿宋" w:hAnsi="仿宋" w:eastAsia="仿宋" w:cs="仿宋"/>
          <w:sz w:val="28"/>
          <w:szCs w:val="28"/>
          <w:lang w:val="en-US" w:eastAsia="zh-CN"/>
        </w:rPr>
        <w:t>3.96</w:t>
      </w:r>
      <w:r>
        <w:rPr>
          <w:rFonts w:hint="eastAsia" w:ascii="仿宋" w:hAnsi="仿宋" w:eastAsia="仿宋" w:cs="仿宋"/>
          <w:sz w:val="28"/>
          <w:szCs w:val="28"/>
        </w:rPr>
        <w:t>%，其他企业总人数达1</w:t>
      </w:r>
      <w:r>
        <w:rPr>
          <w:rFonts w:hint="eastAsia" w:ascii="仿宋" w:hAnsi="仿宋" w:eastAsia="仿宋" w:cs="仿宋"/>
          <w:sz w:val="28"/>
          <w:szCs w:val="28"/>
          <w:lang w:val="en-US" w:eastAsia="zh-CN"/>
        </w:rPr>
        <w:t>541</w:t>
      </w:r>
      <w:r>
        <w:rPr>
          <w:rFonts w:hint="eastAsia" w:ascii="仿宋" w:hAnsi="仿宋" w:eastAsia="仿宋" w:cs="仿宋"/>
          <w:sz w:val="28"/>
          <w:szCs w:val="28"/>
        </w:rPr>
        <w:t>人，占</w:t>
      </w:r>
      <w:r>
        <w:rPr>
          <w:rFonts w:hint="eastAsia" w:ascii="仿宋" w:hAnsi="仿宋" w:eastAsia="仿宋" w:cs="仿宋"/>
          <w:sz w:val="28"/>
          <w:szCs w:val="28"/>
          <w:lang w:val="en-US" w:eastAsia="zh-CN"/>
        </w:rPr>
        <w:t>56.45</w:t>
      </w:r>
      <w:r>
        <w:rPr>
          <w:rFonts w:hint="eastAsia" w:ascii="仿宋" w:hAnsi="仿宋" w:eastAsia="仿宋" w:cs="仿宋"/>
          <w:sz w:val="28"/>
          <w:szCs w:val="28"/>
        </w:rPr>
        <w:t>%</w:t>
      </w:r>
      <w:r>
        <w:rPr>
          <w:rFonts w:hint="eastAsia" w:ascii="仿宋" w:hAnsi="仿宋" w:eastAsia="仿宋" w:cs="仿宋"/>
          <w:sz w:val="28"/>
          <w:szCs w:val="28"/>
          <w:lang w:eastAsia="zh-CN"/>
        </w:rPr>
        <w:t>；其他事业单位</w:t>
      </w:r>
      <w:r>
        <w:rPr>
          <w:rFonts w:hint="eastAsia" w:ascii="仿宋" w:hAnsi="仿宋" w:eastAsia="仿宋" w:cs="仿宋"/>
          <w:sz w:val="28"/>
          <w:szCs w:val="28"/>
        </w:rPr>
        <w:t>总人数达</w:t>
      </w:r>
      <w:r>
        <w:rPr>
          <w:rFonts w:hint="eastAsia" w:ascii="仿宋" w:hAnsi="仿宋" w:eastAsia="仿宋" w:cs="仿宋"/>
          <w:sz w:val="28"/>
          <w:szCs w:val="28"/>
          <w:lang w:val="en-US" w:eastAsia="zh-CN"/>
        </w:rPr>
        <w:t>54</w:t>
      </w:r>
      <w:r>
        <w:rPr>
          <w:rFonts w:hint="eastAsia" w:ascii="仿宋" w:hAnsi="仿宋" w:eastAsia="仿宋" w:cs="仿宋"/>
          <w:sz w:val="28"/>
          <w:szCs w:val="28"/>
        </w:rPr>
        <w:t>人占</w:t>
      </w:r>
      <w:r>
        <w:rPr>
          <w:rFonts w:hint="eastAsia" w:ascii="仿宋" w:hAnsi="仿宋" w:eastAsia="仿宋" w:cs="仿宋"/>
          <w:sz w:val="28"/>
          <w:szCs w:val="28"/>
          <w:lang w:val="en-US" w:eastAsia="zh-CN"/>
        </w:rPr>
        <w:t>1.98</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rPr>
        <w:t>机关</w:t>
      </w:r>
      <w:r>
        <w:rPr>
          <w:rFonts w:hint="eastAsia" w:ascii="仿宋" w:hAnsi="仿宋" w:eastAsia="仿宋" w:cs="仿宋"/>
          <w:sz w:val="28"/>
          <w:szCs w:val="28"/>
          <w:lang w:val="en-US" w:eastAsia="zh-CN"/>
        </w:rPr>
        <w:t>50</w:t>
      </w:r>
      <w:r>
        <w:rPr>
          <w:rFonts w:hint="eastAsia" w:ascii="仿宋" w:hAnsi="仿宋" w:eastAsia="仿宋" w:cs="仿宋"/>
          <w:sz w:val="28"/>
          <w:szCs w:val="28"/>
        </w:rPr>
        <w:t>人，占</w:t>
      </w:r>
      <w:r>
        <w:rPr>
          <w:rFonts w:hint="eastAsia" w:ascii="仿宋" w:hAnsi="仿宋" w:eastAsia="仿宋" w:cs="仿宋"/>
          <w:sz w:val="28"/>
          <w:szCs w:val="28"/>
          <w:lang w:val="en-US" w:eastAsia="zh-CN"/>
        </w:rPr>
        <w:t>1.83</w:t>
      </w:r>
      <w:r>
        <w:rPr>
          <w:rFonts w:hint="eastAsia" w:ascii="仿宋" w:hAnsi="仿宋" w:eastAsia="仿宋" w:cs="仿宋"/>
          <w:sz w:val="28"/>
          <w:szCs w:val="28"/>
        </w:rPr>
        <w:t>%，具体人数分布见图2-</w:t>
      </w:r>
      <w:r>
        <w:rPr>
          <w:rFonts w:hint="eastAsia" w:ascii="仿宋" w:hAnsi="仿宋" w:eastAsia="仿宋" w:cs="仿宋"/>
          <w:sz w:val="28"/>
          <w:szCs w:val="28"/>
          <w:lang w:val="en-US" w:eastAsia="zh-CN"/>
        </w:rPr>
        <w:t>1</w:t>
      </w:r>
      <w:r>
        <w:rPr>
          <w:rFonts w:hint="eastAsia" w:ascii="仿宋" w:hAnsi="仿宋" w:eastAsia="仿宋" w:cs="仿宋"/>
          <w:sz w:val="28"/>
          <w:szCs w:val="28"/>
        </w:rPr>
        <w:t>。</w:t>
      </w:r>
    </w:p>
    <w:p>
      <w:pPr>
        <w:ind w:firstLine="1205" w:firstLineChars="400"/>
        <w:rPr>
          <w:rFonts w:hint="eastAsia" w:ascii="仿宋" w:hAnsi="仿宋" w:eastAsia="仿宋" w:cs="仿宋"/>
          <w:b/>
          <w:sz w:val="30"/>
          <w:szCs w:val="30"/>
        </w:rPr>
      </w:pPr>
      <w:r>
        <w:rPr>
          <w:rFonts w:hint="eastAsia" w:ascii="仿宋" w:hAnsi="仿宋" w:eastAsia="仿宋" w:cs="仿宋"/>
          <w:b/>
          <w:sz w:val="30"/>
          <w:szCs w:val="30"/>
        </w:rPr>
        <w:t>图2-</w:t>
      </w:r>
      <w:r>
        <w:rPr>
          <w:rFonts w:hint="eastAsia" w:ascii="仿宋" w:hAnsi="仿宋" w:eastAsia="仿宋" w:cs="仿宋"/>
          <w:b/>
          <w:sz w:val="30"/>
          <w:szCs w:val="30"/>
          <w:lang w:val="en-US" w:eastAsia="zh-CN"/>
        </w:rPr>
        <w:t>1</w:t>
      </w:r>
      <w:r>
        <w:rPr>
          <w:rFonts w:hint="eastAsia" w:ascii="仿宋" w:hAnsi="仿宋" w:eastAsia="仿宋" w:cs="仿宋"/>
          <w:b/>
          <w:sz w:val="30"/>
          <w:szCs w:val="30"/>
        </w:rPr>
        <w:t xml:space="preserve">   20</w:t>
      </w:r>
      <w:r>
        <w:rPr>
          <w:rFonts w:hint="eastAsia" w:ascii="仿宋" w:hAnsi="仿宋" w:eastAsia="仿宋" w:cs="仿宋"/>
          <w:b/>
          <w:sz w:val="30"/>
          <w:szCs w:val="30"/>
          <w:lang w:val="en-US" w:eastAsia="zh-CN"/>
        </w:rPr>
        <w:t>20</w:t>
      </w:r>
      <w:r>
        <w:rPr>
          <w:rFonts w:hint="eastAsia" w:ascii="仿宋" w:hAnsi="仿宋" w:eastAsia="仿宋" w:cs="仿宋"/>
          <w:b/>
          <w:sz w:val="30"/>
          <w:szCs w:val="30"/>
        </w:rPr>
        <w:t>届毕业生签约单位性质分布图</w:t>
      </w:r>
    </w:p>
    <w:p>
      <w:pPr>
        <w:jc w:val="center"/>
        <w:rPr>
          <w:rFonts w:hint="eastAsia" w:ascii="仿宋" w:hAnsi="仿宋" w:eastAsia="仿宋" w:cs="仿宋"/>
          <w:b/>
          <w:sz w:val="30"/>
          <w:szCs w:val="30"/>
        </w:rPr>
      </w:pPr>
      <w:r>
        <w:rPr>
          <w:rFonts w:hint="eastAsia" w:ascii="仿宋" w:hAnsi="仿宋" w:eastAsia="仿宋" w:cs="仿宋"/>
        </w:rPr>
        <w:drawing>
          <wp:inline distT="0" distB="0" distL="114300" distR="114300">
            <wp:extent cx="5016500" cy="2200275"/>
            <wp:effectExtent l="0" t="0" r="12700" b="952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6"/>
                    <a:stretch>
                      <a:fillRect/>
                    </a:stretch>
                  </pic:blipFill>
                  <pic:spPr>
                    <a:xfrm>
                      <a:off x="0" y="0"/>
                      <a:ext cx="5016500" cy="2200275"/>
                    </a:xfrm>
                    <a:prstGeom prst="rect">
                      <a:avLst/>
                    </a:prstGeom>
                    <a:noFill/>
                    <a:ln>
                      <a:noFill/>
                    </a:ln>
                  </pic:spPr>
                </pic:pic>
              </a:graphicData>
            </a:graphic>
          </wp:inline>
        </w:drawing>
      </w:r>
    </w:p>
    <w:p>
      <w:pPr>
        <w:pStyle w:val="5"/>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仿宋" w:hAnsi="仿宋" w:eastAsia="仿宋" w:cs="仿宋"/>
          <w:color w:val="1F497D"/>
          <w:sz w:val="30"/>
          <w:szCs w:val="30"/>
        </w:rPr>
      </w:pPr>
      <w:bookmarkStart w:id="52" w:name="_Toc31467"/>
      <w:bookmarkStart w:id="53" w:name="_Toc28909"/>
      <w:r>
        <w:rPr>
          <w:rFonts w:hint="eastAsia" w:ascii="仿宋" w:hAnsi="仿宋" w:eastAsia="仿宋" w:cs="仿宋"/>
          <w:color w:val="1F497D"/>
          <w:sz w:val="30"/>
          <w:szCs w:val="30"/>
        </w:rPr>
        <w:t>2.3.4 升学分析</w:t>
      </w:r>
      <w:bookmarkEnd w:id="52"/>
      <w:bookmarkEnd w:id="53"/>
    </w:p>
    <w:p>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近几年，学校不断加强与世界各地大学合作培养人才的深度与广度，注重内涵建设的国际化人才培养，目前已经与世界10多所大学建立合作关系，使学生接受前沿的国际视野和多元的文化熏陶。毕业生继续深造率和出国、出境人数逐年上升。</w:t>
      </w:r>
    </w:p>
    <w:p>
      <w:pPr>
        <w:pStyle w:val="46"/>
        <w:keepNext w:val="0"/>
        <w:keepLines w:val="0"/>
        <w:pageBreakBefore w:val="0"/>
        <w:widowControl w:val="0"/>
        <w:kinsoku/>
        <w:wordWrap/>
        <w:overflowPunct/>
        <w:topLinePunct w:val="0"/>
        <w:autoSpaceDE/>
        <w:autoSpaceDN/>
        <w:bidi w:val="0"/>
        <w:adjustRightInd/>
        <w:snapToGrid/>
        <w:ind w:firstLine="0" w:firstLineChars="0"/>
        <w:textAlignment w:val="auto"/>
        <w:outlineLvl w:val="2"/>
        <w:rPr>
          <w:rFonts w:hint="eastAsia" w:ascii="仿宋" w:hAnsi="仿宋" w:eastAsia="仿宋" w:cs="仿宋"/>
          <w:b/>
          <w:color w:val="1F497D"/>
          <w:sz w:val="30"/>
          <w:szCs w:val="30"/>
        </w:rPr>
      </w:pPr>
      <w:bookmarkStart w:id="54" w:name="_Toc21834"/>
      <w:r>
        <w:rPr>
          <w:rFonts w:hint="eastAsia" w:ascii="仿宋" w:hAnsi="仿宋" w:eastAsia="仿宋" w:cs="仿宋"/>
          <w:b/>
          <w:color w:val="1F497D"/>
          <w:sz w:val="30"/>
          <w:szCs w:val="30"/>
        </w:rPr>
        <w:t>2.3.5 国内外升学情况</w:t>
      </w:r>
      <w:bookmarkEnd w:id="54"/>
    </w:p>
    <w:p>
      <w:pPr>
        <w:ind w:firstLine="560" w:firstLineChars="200"/>
        <w:rPr>
          <w:rFonts w:hint="eastAsia" w:ascii="仿宋" w:hAnsi="仿宋" w:eastAsia="仿宋" w:cs="仿宋"/>
          <w:bCs/>
          <w:color w:val="FFFFFF"/>
          <w:kern w:val="0"/>
          <w:sz w:val="22"/>
        </w:rPr>
      </w:pPr>
      <w:r>
        <w:rPr>
          <w:rFonts w:hint="eastAsia" w:ascii="仿宋" w:hAnsi="仿宋" w:eastAsia="仿宋" w:cs="仿宋"/>
          <w:color w:val="000000"/>
          <w:sz w:val="28"/>
          <w:szCs w:val="28"/>
        </w:rPr>
        <w:t>20</w:t>
      </w: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届本科生国内升学1</w:t>
      </w:r>
      <w:r>
        <w:rPr>
          <w:rFonts w:hint="eastAsia" w:ascii="仿宋" w:hAnsi="仿宋" w:eastAsia="仿宋" w:cs="仿宋"/>
          <w:color w:val="000000"/>
          <w:sz w:val="28"/>
          <w:szCs w:val="28"/>
          <w:lang w:val="en-US" w:eastAsia="zh-CN"/>
        </w:rPr>
        <w:t>98</w:t>
      </w:r>
      <w:r>
        <w:rPr>
          <w:rFonts w:hint="eastAsia" w:ascii="仿宋" w:hAnsi="仿宋" w:eastAsia="仿宋" w:cs="仿宋"/>
          <w:color w:val="000000"/>
          <w:sz w:val="28"/>
          <w:szCs w:val="28"/>
        </w:rPr>
        <w:t>人，占升学总人数的7</w:t>
      </w:r>
      <w:r>
        <w:rPr>
          <w:rFonts w:hint="eastAsia" w:ascii="仿宋" w:hAnsi="仿宋" w:eastAsia="仿宋" w:cs="仿宋"/>
          <w:color w:val="000000"/>
          <w:sz w:val="28"/>
          <w:szCs w:val="28"/>
          <w:lang w:val="en-US" w:eastAsia="zh-CN"/>
        </w:rPr>
        <w:t>0.71</w:t>
      </w:r>
      <w:r>
        <w:rPr>
          <w:rFonts w:hint="eastAsia" w:ascii="仿宋" w:hAnsi="仿宋" w:eastAsia="仿宋" w:cs="仿宋"/>
          <w:color w:val="000000"/>
          <w:sz w:val="28"/>
          <w:szCs w:val="28"/>
        </w:rPr>
        <w:t>%，出国（境）升学</w:t>
      </w:r>
      <w:r>
        <w:rPr>
          <w:rFonts w:hint="eastAsia" w:ascii="仿宋" w:hAnsi="仿宋" w:eastAsia="仿宋" w:cs="仿宋"/>
          <w:color w:val="000000"/>
          <w:sz w:val="28"/>
          <w:szCs w:val="28"/>
          <w:lang w:val="en-US" w:eastAsia="zh-CN"/>
        </w:rPr>
        <w:t>82</w:t>
      </w:r>
      <w:r>
        <w:rPr>
          <w:rFonts w:hint="eastAsia" w:ascii="仿宋" w:hAnsi="仿宋" w:eastAsia="仿宋" w:cs="仿宋"/>
          <w:color w:val="000000"/>
          <w:sz w:val="28"/>
          <w:szCs w:val="28"/>
        </w:rPr>
        <w:t>人，占升学总人数的2</w:t>
      </w:r>
      <w:r>
        <w:rPr>
          <w:rFonts w:hint="eastAsia" w:ascii="仿宋" w:hAnsi="仿宋" w:eastAsia="仿宋" w:cs="仿宋"/>
          <w:color w:val="000000"/>
          <w:sz w:val="28"/>
          <w:szCs w:val="28"/>
          <w:lang w:val="en-US" w:eastAsia="zh-CN"/>
        </w:rPr>
        <w:t>9.29</w:t>
      </w:r>
      <w:r>
        <w:rPr>
          <w:rFonts w:hint="eastAsia" w:ascii="仿宋" w:hAnsi="仿宋" w:eastAsia="仿宋" w:cs="仿宋"/>
          <w:color w:val="000000"/>
          <w:sz w:val="28"/>
          <w:szCs w:val="28"/>
        </w:rPr>
        <w:t>%，具体情况详见图2-</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w:t>
      </w:r>
    </w:p>
    <w:p>
      <w:pPr>
        <w:jc w:val="center"/>
        <w:rPr>
          <w:rFonts w:hint="eastAsia" w:ascii="仿宋" w:hAnsi="仿宋" w:eastAsia="仿宋" w:cs="仿宋"/>
          <w:b/>
          <w:color w:val="000000"/>
          <w:sz w:val="30"/>
          <w:szCs w:val="30"/>
        </w:rPr>
      </w:pPr>
      <w:r>
        <w:rPr>
          <w:rFonts w:hint="eastAsia" w:ascii="仿宋" w:hAnsi="仿宋" w:eastAsia="仿宋" w:cs="仿宋"/>
          <w:b/>
          <w:color w:val="000000"/>
          <w:sz w:val="30"/>
          <w:szCs w:val="30"/>
        </w:rPr>
        <w:t>图2-</w:t>
      </w:r>
      <w:r>
        <w:rPr>
          <w:rFonts w:hint="eastAsia" w:ascii="仿宋" w:hAnsi="仿宋" w:eastAsia="仿宋" w:cs="仿宋"/>
          <w:b/>
          <w:color w:val="000000"/>
          <w:sz w:val="30"/>
          <w:szCs w:val="30"/>
          <w:lang w:val="en-US" w:eastAsia="zh-CN"/>
        </w:rPr>
        <w:t>2</w:t>
      </w:r>
      <w:r>
        <w:rPr>
          <w:rFonts w:hint="eastAsia" w:ascii="仿宋" w:hAnsi="仿宋" w:eastAsia="仿宋" w:cs="仿宋"/>
          <w:b/>
          <w:color w:val="000000"/>
          <w:sz w:val="30"/>
          <w:szCs w:val="30"/>
        </w:rPr>
        <w:t xml:space="preserve">  20</w:t>
      </w:r>
      <w:r>
        <w:rPr>
          <w:rFonts w:hint="eastAsia" w:ascii="仿宋" w:hAnsi="仿宋" w:eastAsia="仿宋" w:cs="仿宋"/>
          <w:b/>
          <w:color w:val="000000"/>
          <w:sz w:val="30"/>
          <w:szCs w:val="30"/>
          <w:lang w:val="en-US" w:eastAsia="zh-CN"/>
        </w:rPr>
        <w:t>20</w:t>
      </w:r>
      <w:r>
        <w:rPr>
          <w:rFonts w:hint="eastAsia" w:ascii="仿宋" w:hAnsi="仿宋" w:eastAsia="仿宋" w:cs="仿宋"/>
          <w:b/>
          <w:color w:val="000000"/>
          <w:sz w:val="30"/>
          <w:szCs w:val="30"/>
        </w:rPr>
        <w:t>届毕业生国内外升学对比图</w:t>
      </w:r>
    </w:p>
    <w:p>
      <w:pPr>
        <w:jc w:val="center"/>
        <w:rPr>
          <w:rFonts w:hint="eastAsia" w:ascii="仿宋" w:hAnsi="仿宋" w:eastAsia="仿宋" w:cs="仿宋"/>
          <w:b/>
          <w:color w:val="000000"/>
          <w:sz w:val="30"/>
          <w:szCs w:val="30"/>
        </w:rPr>
      </w:pPr>
      <w:r>
        <w:rPr>
          <w:rFonts w:hint="eastAsia" w:ascii="仿宋" w:hAnsi="仿宋" w:eastAsia="仿宋" w:cs="仿宋"/>
        </w:rPr>
        <w:drawing>
          <wp:inline distT="0" distB="0" distL="114300" distR="114300">
            <wp:extent cx="4831080" cy="2244725"/>
            <wp:effectExtent l="0" t="0" r="7620" b="317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7"/>
                    <a:stretch>
                      <a:fillRect/>
                    </a:stretch>
                  </pic:blipFill>
                  <pic:spPr>
                    <a:xfrm>
                      <a:off x="0" y="0"/>
                      <a:ext cx="4831080" cy="2244725"/>
                    </a:xfrm>
                    <a:prstGeom prst="rect">
                      <a:avLst/>
                    </a:prstGeom>
                    <a:noFill/>
                    <a:ln>
                      <a:noFill/>
                    </a:ln>
                  </pic:spPr>
                </pic:pic>
              </a:graphicData>
            </a:graphic>
          </wp:inline>
        </w:drawing>
      </w:r>
    </w:p>
    <w:p>
      <w:pPr>
        <w:pStyle w:val="5"/>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仿宋" w:hAnsi="仿宋" w:eastAsia="仿宋" w:cs="仿宋"/>
          <w:color w:val="1F497D"/>
          <w:sz w:val="30"/>
          <w:szCs w:val="30"/>
        </w:rPr>
      </w:pPr>
      <w:bookmarkStart w:id="55" w:name="_Toc200"/>
      <w:bookmarkStart w:id="56" w:name="_Toc3541"/>
      <w:bookmarkStart w:id="57" w:name="_Toc15066"/>
      <w:r>
        <w:rPr>
          <w:rFonts w:hint="eastAsia" w:ascii="仿宋" w:hAnsi="仿宋" w:eastAsia="仿宋" w:cs="仿宋"/>
          <w:color w:val="1F497D"/>
          <w:sz w:val="30"/>
          <w:szCs w:val="30"/>
        </w:rPr>
        <w:t>2.3.6 重点流向院校</w:t>
      </w:r>
      <w:bookmarkEnd w:id="55"/>
      <w:bookmarkEnd w:id="56"/>
      <w:bookmarkEnd w:id="57"/>
    </w:p>
    <w:p>
      <w:pPr>
        <w:ind w:firstLine="562" w:firstLineChars="20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（1）国内升学</w:t>
      </w:r>
    </w:p>
    <w:p>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我校20</w:t>
      </w: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届毕业生选择国内升学的学生共有</w:t>
      </w:r>
      <w:r>
        <w:rPr>
          <w:rFonts w:hint="eastAsia" w:ascii="仿宋" w:hAnsi="仿宋" w:eastAsia="仿宋" w:cs="仿宋"/>
          <w:color w:val="000000"/>
          <w:sz w:val="28"/>
          <w:szCs w:val="28"/>
          <w:lang w:val="en-US" w:eastAsia="zh-CN"/>
        </w:rPr>
        <w:t>198</w:t>
      </w:r>
      <w:r>
        <w:rPr>
          <w:rFonts w:hint="eastAsia" w:ascii="仿宋" w:hAnsi="仿宋" w:eastAsia="仿宋" w:cs="仿宋"/>
          <w:color w:val="000000"/>
          <w:sz w:val="28"/>
          <w:szCs w:val="28"/>
        </w:rPr>
        <w:t>人，绝大多数选择省内高校，具体情况详见表2-6。</w:t>
      </w:r>
    </w:p>
    <w:p>
      <w:pPr>
        <w:jc w:val="center"/>
        <w:rPr>
          <w:rFonts w:hint="eastAsia" w:ascii="仿宋" w:hAnsi="仿宋" w:eastAsia="仿宋" w:cs="仿宋"/>
          <w:b/>
          <w:color w:val="000000"/>
          <w:sz w:val="30"/>
          <w:szCs w:val="30"/>
          <w:highlight w:val="none"/>
        </w:rPr>
      </w:pPr>
    </w:p>
    <w:p>
      <w:pPr>
        <w:jc w:val="center"/>
        <w:rPr>
          <w:rFonts w:hint="eastAsia" w:ascii="仿宋" w:hAnsi="仿宋" w:eastAsia="仿宋" w:cs="仿宋"/>
          <w:b/>
          <w:color w:val="000000"/>
          <w:sz w:val="30"/>
          <w:szCs w:val="30"/>
          <w:highlight w:val="red"/>
        </w:rPr>
      </w:pPr>
      <w:r>
        <w:rPr>
          <w:rFonts w:hint="eastAsia" w:ascii="仿宋" w:hAnsi="仿宋" w:eastAsia="仿宋" w:cs="仿宋"/>
          <w:b/>
          <w:color w:val="000000"/>
          <w:sz w:val="30"/>
          <w:szCs w:val="30"/>
          <w:highlight w:val="none"/>
        </w:rPr>
        <w:t>表2-6  20</w:t>
      </w:r>
      <w:r>
        <w:rPr>
          <w:rFonts w:hint="eastAsia" w:ascii="仿宋" w:hAnsi="仿宋" w:eastAsia="仿宋" w:cs="仿宋"/>
          <w:b/>
          <w:color w:val="000000"/>
          <w:sz w:val="30"/>
          <w:szCs w:val="30"/>
          <w:highlight w:val="none"/>
          <w:lang w:val="en-US" w:eastAsia="zh-CN"/>
        </w:rPr>
        <w:t>20</w:t>
      </w:r>
      <w:r>
        <w:rPr>
          <w:rFonts w:hint="eastAsia" w:ascii="仿宋" w:hAnsi="仿宋" w:eastAsia="仿宋" w:cs="仿宋"/>
          <w:b/>
          <w:color w:val="000000"/>
          <w:sz w:val="30"/>
          <w:szCs w:val="30"/>
          <w:highlight w:val="none"/>
        </w:rPr>
        <w:t>届毕业生国内升学主要流向院校统计表</w:t>
      </w:r>
    </w:p>
    <w:tbl>
      <w:tblPr>
        <w:tblStyle w:val="18"/>
        <w:tblW w:w="8320" w:type="dxa"/>
        <w:tblInd w:w="0" w:type="dxa"/>
        <w:shd w:val="clear" w:color="auto" w:fill="auto"/>
        <w:tblLayout w:type="fixed"/>
        <w:tblCellMar>
          <w:top w:w="0" w:type="dxa"/>
          <w:left w:w="0" w:type="dxa"/>
          <w:bottom w:w="0" w:type="dxa"/>
          <w:right w:w="0" w:type="dxa"/>
        </w:tblCellMar>
      </w:tblPr>
      <w:tblGrid>
        <w:gridCol w:w="2816"/>
        <w:gridCol w:w="1291"/>
        <w:gridCol w:w="2435"/>
        <w:gridCol w:w="1778"/>
      </w:tblGrid>
      <w:tr>
        <w:tblPrEx>
          <w:shd w:val="clear" w:color="auto" w:fill="auto"/>
          <w:tblCellMar>
            <w:top w:w="0" w:type="dxa"/>
            <w:left w:w="0" w:type="dxa"/>
            <w:bottom w:w="0" w:type="dxa"/>
            <w:right w:w="0" w:type="dxa"/>
          </w:tblCellMar>
        </w:tblPrEx>
        <w:trPr>
          <w:trHeight w:val="567" w:hRule="exact"/>
          <w:tblHeader/>
        </w:trPr>
        <w:tc>
          <w:tcPr>
            <w:tcW w:w="2816" w:type="dxa"/>
            <w:tcBorders>
              <w:top w:val="single" w:color="auto" w:sz="4" w:space="0"/>
              <w:left w:val="single" w:color="auto" w:sz="4" w:space="0"/>
              <w:bottom w:val="single" w:color="auto" w:sz="4" w:space="0"/>
              <w:right w:val="single" w:color="auto" w:sz="4" w:space="0"/>
            </w:tcBorders>
            <w:shd w:val="clear" w:color="C0504D" w:fill="C0504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b/>
                <w:i w:val="0"/>
                <w:strike w:val="0"/>
                <w:dstrike w:val="0"/>
                <w:color w:val="FFFFFF"/>
                <w:sz w:val="28"/>
                <w:szCs w:val="28"/>
                <w:u w:val="none"/>
              </w:rPr>
            </w:pPr>
            <w:r>
              <w:rPr>
                <w:rFonts w:hint="eastAsia" w:ascii="仿宋" w:hAnsi="仿宋" w:eastAsia="仿宋" w:cs="仿宋"/>
                <w:b/>
                <w:i w:val="0"/>
                <w:strike w:val="0"/>
                <w:dstrike w:val="0"/>
                <w:color w:val="FFFFFF"/>
                <w:kern w:val="0"/>
                <w:sz w:val="28"/>
                <w:szCs w:val="28"/>
                <w:u w:val="none"/>
                <w:lang w:val="en-US" w:eastAsia="zh-CN" w:bidi="ar"/>
              </w:rPr>
              <w:t>录取学校</w:t>
            </w:r>
          </w:p>
        </w:tc>
        <w:tc>
          <w:tcPr>
            <w:tcW w:w="1291" w:type="dxa"/>
            <w:tcBorders>
              <w:top w:val="single" w:color="auto" w:sz="4" w:space="0"/>
              <w:left w:val="single" w:color="auto" w:sz="4" w:space="0"/>
              <w:bottom w:val="single" w:color="auto" w:sz="4" w:space="0"/>
              <w:right w:val="single" w:color="auto" w:sz="4" w:space="0"/>
            </w:tcBorders>
            <w:shd w:val="clear" w:color="C0504D" w:fill="C0504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b/>
                <w:i w:val="0"/>
                <w:strike w:val="0"/>
                <w:dstrike w:val="0"/>
                <w:color w:val="FFFFFF"/>
                <w:sz w:val="28"/>
                <w:szCs w:val="28"/>
                <w:u w:val="none"/>
              </w:rPr>
            </w:pPr>
            <w:r>
              <w:rPr>
                <w:rFonts w:hint="eastAsia" w:ascii="仿宋" w:hAnsi="仿宋" w:eastAsia="仿宋" w:cs="仿宋"/>
                <w:b/>
                <w:i w:val="0"/>
                <w:strike w:val="0"/>
                <w:dstrike w:val="0"/>
                <w:color w:val="FFFFFF"/>
                <w:kern w:val="0"/>
                <w:sz w:val="28"/>
                <w:szCs w:val="28"/>
                <w:u w:val="none"/>
                <w:lang w:val="en-US" w:eastAsia="zh-CN" w:bidi="ar"/>
              </w:rPr>
              <w:t>录取人数</w:t>
            </w:r>
          </w:p>
        </w:tc>
        <w:tc>
          <w:tcPr>
            <w:tcW w:w="2435" w:type="dxa"/>
            <w:tcBorders>
              <w:top w:val="single" w:color="auto" w:sz="4" w:space="0"/>
              <w:left w:val="single" w:color="auto" w:sz="4" w:space="0"/>
              <w:bottom w:val="single" w:color="auto" w:sz="4" w:space="0"/>
              <w:right w:val="single" w:color="auto" w:sz="4" w:space="0"/>
            </w:tcBorders>
            <w:shd w:val="clear" w:color="C0504D" w:fill="C0504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b/>
                <w:i w:val="0"/>
                <w:strike w:val="0"/>
                <w:dstrike w:val="0"/>
                <w:color w:val="FFFFFF"/>
                <w:sz w:val="28"/>
                <w:szCs w:val="28"/>
                <w:u w:val="none"/>
              </w:rPr>
            </w:pPr>
            <w:r>
              <w:rPr>
                <w:rFonts w:hint="eastAsia" w:ascii="仿宋" w:hAnsi="仿宋" w:eastAsia="仿宋" w:cs="仿宋"/>
                <w:b/>
                <w:i w:val="0"/>
                <w:strike w:val="0"/>
                <w:dstrike w:val="0"/>
                <w:color w:val="FFFFFF"/>
                <w:kern w:val="0"/>
                <w:sz w:val="28"/>
                <w:szCs w:val="28"/>
                <w:u w:val="none"/>
                <w:lang w:val="en-US" w:eastAsia="zh-CN" w:bidi="ar"/>
              </w:rPr>
              <w:t>录取学校</w:t>
            </w:r>
          </w:p>
        </w:tc>
        <w:tc>
          <w:tcPr>
            <w:tcW w:w="1778" w:type="dxa"/>
            <w:tcBorders>
              <w:top w:val="single" w:color="auto" w:sz="4" w:space="0"/>
              <w:left w:val="single" w:color="auto" w:sz="4" w:space="0"/>
              <w:bottom w:val="single" w:color="auto" w:sz="4" w:space="0"/>
              <w:right w:val="single" w:color="auto" w:sz="4" w:space="0"/>
            </w:tcBorders>
            <w:shd w:val="clear" w:color="C0504D" w:fill="C0504D"/>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b/>
                <w:i w:val="0"/>
                <w:strike w:val="0"/>
                <w:dstrike w:val="0"/>
                <w:color w:val="FFFFFF"/>
                <w:sz w:val="28"/>
                <w:szCs w:val="28"/>
                <w:u w:val="none"/>
              </w:rPr>
            </w:pPr>
            <w:r>
              <w:rPr>
                <w:rFonts w:hint="eastAsia" w:ascii="仿宋" w:hAnsi="仿宋" w:eastAsia="仿宋" w:cs="仿宋"/>
                <w:b/>
                <w:i w:val="0"/>
                <w:strike w:val="0"/>
                <w:dstrike w:val="0"/>
                <w:color w:val="FFFFFF"/>
                <w:kern w:val="0"/>
                <w:sz w:val="28"/>
                <w:szCs w:val="28"/>
                <w:u w:val="none"/>
                <w:lang w:val="en-US" w:eastAsia="zh-CN" w:bidi="ar"/>
              </w:rPr>
              <w:t>录取人数</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安徽大学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江苏大学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安徽理工大学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江苏海洋大学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北京师范大学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重庆师范大学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大连民族大学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江西财经大学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8</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东北财经大学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江西师范大学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东北师范大学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南华大学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对外经济贸易大学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南京财经大学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福建师范大学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南京工业大学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甘肃政法大学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南京邮电大学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广东财经大学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宁波大学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广东工业大学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厦门国家会计学院</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广东外语外贸大学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山东财经大学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广西大学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上海大学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广西民族大学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上海对外经贸大学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广西师范大学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上海师范大学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广州大学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深圳大学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贵州财经大学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首都经济贸易大学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贵州大学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四川大学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哈尔滨商业大学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四川外国语大学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海南大学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武汉大学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河南财经政法大学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武汉科技大学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河南师范大学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武汉理工大学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湖北大学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西安外国语大学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11</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西北农林科技大学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湖南工商大学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11</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西南政法大学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湖南工业大学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湘潭大学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湖南科技大学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云南财经大学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湖南农业大学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长春理工大学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湖南师范大学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19</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长沙理工大学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24</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华东师范大学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浙江工商大学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6</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华南农业大学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郑州大学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华南师范大学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中南财经政法大学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华侨大学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中南大学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暨南大学</w:t>
            </w:r>
          </w:p>
        </w:tc>
        <w:tc>
          <w:tcPr>
            <w:tcW w:w="1291"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c>
          <w:tcPr>
            <w:tcW w:w="2435"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中南林业科技大学</w:t>
            </w:r>
          </w:p>
        </w:tc>
        <w:tc>
          <w:tcPr>
            <w:tcW w:w="1778" w:type="dxa"/>
            <w:tcBorders>
              <w:top w:val="single" w:color="auto" w:sz="4" w:space="0"/>
              <w:left w:val="single" w:color="auto" w:sz="4" w:space="0"/>
              <w:bottom w:val="single" w:color="auto" w:sz="4" w:space="0"/>
              <w:right w:val="single" w:color="auto" w:sz="4" w:space="0"/>
            </w:tcBorders>
            <w:shd w:val="clear" w:color="F2DDDC" w:fill="F2DDDC"/>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r>
      <w:tr>
        <w:tblPrEx>
          <w:tblCellMar>
            <w:top w:w="0" w:type="dxa"/>
            <w:left w:w="0" w:type="dxa"/>
            <w:bottom w:w="0" w:type="dxa"/>
            <w:right w:w="0" w:type="dxa"/>
          </w:tblCellMar>
        </w:tblPrEx>
        <w:trPr>
          <w:trHeight w:val="567" w:hRule="exact"/>
        </w:trPr>
        <w:tc>
          <w:tcPr>
            <w:tcW w:w="2816"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中央民族大学</w:t>
            </w:r>
          </w:p>
        </w:tc>
        <w:tc>
          <w:tcPr>
            <w:tcW w:w="1291"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c>
          <w:tcPr>
            <w:tcW w:w="2435"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中南民族大学</w:t>
            </w:r>
          </w:p>
        </w:tc>
        <w:tc>
          <w:tcPr>
            <w:tcW w:w="1778" w:type="dxa"/>
            <w:tcBorders>
              <w:top w:val="single" w:color="auto" w:sz="4" w:space="0"/>
              <w:left w:val="single" w:color="auto" w:sz="4" w:space="0"/>
              <w:bottom w:val="single" w:color="auto" w:sz="4" w:space="0"/>
              <w:right w:val="single" w:color="auto" w:sz="4" w:space="0"/>
            </w:tcBorders>
            <w:shd w:val="clear" w:color="E6B9B8" w:fill="E6B9B8"/>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w:t>
            </w:r>
          </w:p>
        </w:tc>
      </w:tr>
    </w:tbl>
    <w:p>
      <w:pPr>
        <w:ind w:firstLine="562" w:firstLineChars="20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（2）出国（境）深造</w:t>
      </w:r>
    </w:p>
    <w:p>
      <w:pPr>
        <w:ind w:firstLine="560" w:firstLineChars="200"/>
        <w:jc w:val="both"/>
        <w:rPr>
          <w:rFonts w:hint="eastAsia" w:ascii="仿宋" w:hAnsi="仿宋" w:eastAsia="仿宋" w:cs="仿宋"/>
          <w:b/>
          <w:color w:val="000000"/>
          <w:sz w:val="28"/>
          <w:szCs w:val="28"/>
        </w:rPr>
      </w:pPr>
      <w:r>
        <w:rPr>
          <w:rFonts w:hint="eastAsia" w:ascii="仿宋" w:hAnsi="仿宋" w:eastAsia="仿宋" w:cs="仿宋"/>
          <w:color w:val="000000"/>
          <w:sz w:val="28"/>
          <w:szCs w:val="28"/>
        </w:rPr>
        <w:t>20</w:t>
      </w: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年毕业生选择出国（境）深造的学生共计</w:t>
      </w:r>
      <w:r>
        <w:rPr>
          <w:rFonts w:hint="eastAsia" w:ascii="仿宋" w:hAnsi="仿宋" w:eastAsia="仿宋" w:cs="仿宋"/>
          <w:color w:val="000000"/>
          <w:sz w:val="28"/>
          <w:szCs w:val="28"/>
          <w:lang w:val="en-US" w:eastAsia="zh-CN"/>
        </w:rPr>
        <w:t>82</w:t>
      </w:r>
      <w:r>
        <w:rPr>
          <w:rFonts w:hint="eastAsia" w:ascii="仿宋" w:hAnsi="仿宋" w:eastAsia="仿宋" w:cs="仿宋"/>
          <w:color w:val="000000"/>
          <w:sz w:val="28"/>
          <w:szCs w:val="28"/>
        </w:rPr>
        <w:t>人，主要分布在</w:t>
      </w:r>
      <w:r>
        <w:rPr>
          <w:rFonts w:hint="eastAsia" w:ascii="仿宋" w:hAnsi="仿宋" w:eastAsia="仿宋" w:cs="仿宋"/>
          <w:b w:val="0"/>
          <w:bCs w:val="0"/>
          <w:color w:val="000000"/>
          <w:sz w:val="28"/>
          <w:szCs w:val="28"/>
        </w:rPr>
        <w:t>英国诺丁汉大学、波士顿大学</w:t>
      </w:r>
      <w:r>
        <w:rPr>
          <w:rFonts w:hint="eastAsia" w:ascii="仿宋" w:hAnsi="仿宋" w:eastAsia="仿宋" w:cs="仿宋"/>
          <w:b w:val="0"/>
          <w:bCs w:val="0"/>
          <w:color w:val="000000"/>
          <w:sz w:val="28"/>
          <w:szCs w:val="28"/>
          <w:lang w:eastAsia="zh-CN"/>
        </w:rPr>
        <w:t>、新西兰/奥克兰大学、澳门科技大学、香港中文大学、莫那什大学、约克大学、克兰菲尔德大学、埃克塞特大学、纽卡斯尔大学、新南威尔士大学、静冈大学、纽卡斯尔大学、卡迪夫大学、昆士兰大学、墨尔本大学、格拉斯哥大学、意大利特伦托大学、爱尔兰国立科克大学、澳大利亚莫纳什大学、卡尔加里大学、香港理工大学、西澳大学、日本广岛大学、SHMS瑞士酒店管理大学、英国兰卡斯特大学、香港浸会大学、英国利兹大学、埼玉大学、横滨国立大学、悉尼大学、谢菲尔德大学、阿伯丁大学、</w:t>
      </w:r>
      <w:r>
        <w:rPr>
          <w:rFonts w:hint="eastAsia" w:ascii="仿宋" w:hAnsi="仿宋" w:eastAsia="仿宋" w:cs="仿宋"/>
          <w:color w:val="000000"/>
          <w:sz w:val="28"/>
          <w:szCs w:val="28"/>
        </w:rPr>
        <w:t>爱丁堡大学、韩国弘益大学、香港城市大学、英国伯明翰大学、英国贝尔法斯特女王大学等院校。</w:t>
      </w:r>
    </w:p>
    <w:p>
      <w:pPr>
        <w:pStyle w:val="5"/>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仿宋" w:hAnsi="仿宋" w:eastAsia="仿宋" w:cs="仿宋"/>
          <w:color w:val="1F497D"/>
          <w:sz w:val="30"/>
          <w:szCs w:val="30"/>
        </w:rPr>
      </w:pPr>
      <w:bookmarkStart w:id="58" w:name="_Toc30696"/>
      <w:bookmarkStart w:id="59" w:name="_Toc14210"/>
      <w:r>
        <w:rPr>
          <w:rFonts w:hint="eastAsia" w:ascii="仿宋" w:hAnsi="仿宋" w:eastAsia="仿宋" w:cs="仿宋"/>
          <w:color w:val="1F497D"/>
          <w:sz w:val="30"/>
          <w:szCs w:val="30"/>
        </w:rPr>
        <w:t>2.3.7 重点单位就业</w:t>
      </w:r>
      <w:bookmarkEnd w:id="58"/>
      <w:bookmarkEnd w:id="59"/>
    </w:p>
    <w:p>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20</w:t>
      </w: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年</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我校毕业生就业人数超过5人以上的就业单位达</w:t>
      </w:r>
      <w:r>
        <w:rPr>
          <w:rFonts w:hint="eastAsia" w:ascii="仿宋" w:hAnsi="仿宋" w:eastAsia="仿宋" w:cs="仿宋"/>
          <w:color w:val="000000"/>
          <w:sz w:val="28"/>
          <w:szCs w:val="28"/>
          <w:lang w:val="en-US" w:eastAsia="zh-CN"/>
        </w:rPr>
        <w:t>55</w:t>
      </w:r>
      <w:r>
        <w:rPr>
          <w:rFonts w:hint="eastAsia" w:ascii="仿宋" w:hAnsi="仿宋" w:eastAsia="仿宋" w:cs="仿宋"/>
          <w:color w:val="000000"/>
          <w:sz w:val="28"/>
          <w:szCs w:val="28"/>
        </w:rPr>
        <w:t>家，毕业生就业人数超过5人或连续3年来校招聘的重点用人单位</w:t>
      </w:r>
      <w:r>
        <w:rPr>
          <w:rFonts w:hint="eastAsia" w:ascii="仿宋" w:hAnsi="仿宋" w:eastAsia="仿宋" w:cs="仿宋"/>
          <w:color w:val="000000"/>
          <w:sz w:val="28"/>
          <w:szCs w:val="28"/>
          <w:lang w:eastAsia="zh-CN"/>
        </w:rPr>
        <w:t>具体情况</w:t>
      </w:r>
      <w:r>
        <w:rPr>
          <w:rFonts w:hint="eastAsia" w:ascii="仿宋" w:hAnsi="仿宋" w:eastAsia="仿宋" w:cs="仿宋"/>
          <w:color w:val="000000"/>
          <w:sz w:val="28"/>
          <w:szCs w:val="28"/>
        </w:rPr>
        <w:t>详见表2-7。</w:t>
      </w:r>
    </w:p>
    <w:p>
      <w:pPr>
        <w:jc w:val="center"/>
        <w:rPr>
          <w:rFonts w:hint="eastAsia" w:ascii="仿宋" w:hAnsi="仿宋" w:eastAsia="仿宋" w:cs="仿宋"/>
          <w:b/>
          <w:bCs/>
          <w:color w:val="000000"/>
          <w:sz w:val="30"/>
          <w:szCs w:val="30"/>
        </w:rPr>
      </w:pPr>
      <w:bookmarkStart w:id="60" w:name="_Toc29824"/>
      <w:r>
        <w:rPr>
          <w:rFonts w:hint="eastAsia" w:ascii="仿宋" w:hAnsi="仿宋" w:eastAsia="仿宋" w:cs="仿宋"/>
          <w:b/>
          <w:bCs/>
          <w:color w:val="000000"/>
          <w:sz w:val="30"/>
          <w:szCs w:val="30"/>
        </w:rPr>
        <w:t>表2-7  20</w:t>
      </w:r>
      <w:r>
        <w:rPr>
          <w:rFonts w:hint="eastAsia" w:ascii="仿宋" w:hAnsi="仿宋" w:eastAsia="仿宋" w:cs="仿宋"/>
          <w:b/>
          <w:bCs/>
          <w:color w:val="000000"/>
          <w:sz w:val="30"/>
          <w:szCs w:val="30"/>
          <w:lang w:val="en-US" w:eastAsia="zh-CN"/>
        </w:rPr>
        <w:t>20</w:t>
      </w:r>
      <w:r>
        <w:rPr>
          <w:rFonts w:hint="eastAsia" w:ascii="仿宋" w:hAnsi="仿宋" w:eastAsia="仿宋" w:cs="仿宋"/>
          <w:b/>
          <w:bCs/>
          <w:color w:val="000000"/>
          <w:sz w:val="30"/>
          <w:szCs w:val="30"/>
        </w:rPr>
        <w:t>年重点用人单位毕业生就业人数统计表</w:t>
      </w:r>
      <w:bookmarkEnd w:id="60"/>
      <w:bookmarkStart w:id="61" w:name="_Toc21552"/>
    </w:p>
    <w:tbl>
      <w:tblPr>
        <w:tblStyle w:val="18"/>
        <w:tblW w:w="8600" w:type="dxa"/>
        <w:tblInd w:w="0" w:type="dxa"/>
        <w:shd w:val="clear" w:color="auto" w:fill="auto"/>
        <w:tblLayout w:type="fixed"/>
        <w:tblCellMar>
          <w:top w:w="0" w:type="dxa"/>
          <w:left w:w="0" w:type="dxa"/>
          <w:bottom w:w="0" w:type="dxa"/>
          <w:right w:w="0" w:type="dxa"/>
        </w:tblCellMar>
      </w:tblPr>
      <w:tblGrid>
        <w:gridCol w:w="3803"/>
        <w:gridCol w:w="544"/>
        <w:gridCol w:w="3673"/>
        <w:gridCol w:w="580"/>
      </w:tblGrid>
      <w:tr>
        <w:tblPrEx>
          <w:shd w:val="clear" w:color="auto" w:fill="auto"/>
          <w:tblCellMar>
            <w:top w:w="0" w:type="dxa"/>
            <w:left w:w="0" w:type="dxa"/>
            <w:bottom w:w="0" w:type="dxa"/>
            <w:right w:w="0" w:type="dxa"/>
          </w:tblCellMar>
        </w:tblPrEx>
        <w:trPr>
          <w:trHeight w:val="772" w:hRule="exact"/>
          <w:tblHeader/>
        </w:trPr>
        <w:tc>
          <w:tcPr>
            <w:tcW w:w="3803" w:type="dxa"/>
            <w:tcBorders>
              <w:top w:val="single" w:color="auto" w:sz="4" w:space="0"/>
              <w:left w:val="single" w:color="auto" w:sz="4" w:space="0"/>
              <w:bottom w:val="single" w:color="auto" w:sz="4" w:space="0"/>
              <w:right w:val="single" w:color="auto" w:sz="4" w:space="0"/>
            </w:tcBorders>
            <w:shd w:val="clear" w:color="000000" w:fill="4BACC6"/>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center"/>
              <w:rPr>
                <w:rFonts w:hint="eastAsia" w:ascii="仿宋" w:hAnsi="仿宋" w:eastAsia="仿宋" w:cs="仿宋"/>
                <w:b/>
                <w:i w:val="0"/>
                <w:strike w:val="0"/>
                <w:dstrike w:val="0"/>
                <w:color w:val="000000"/>
                <w:sz w:val="28"/>
                <w:szCs w:val="28"/>
                <w:u w:val="none"/>
              </w:rPr>
            </w:pPr>
            <w:r>
              <w:rPr>
                <w:rFonts w:hint="eastAsia" w:ascii="仿宋" w:hAnsi="仿宋" w:eastAsia="仿宋" w:cs="仿宋"/>
                <w:b/>
                <w:i w:val="0"/>
                <w:strike w:val="0"/>
                <w:dstrike w:val="0"/>
                <w:color w:val="000000"/>
                <w:kern w:val="0"/>
                <w:sz w:val="28"/>
                <w:szCs w:val="28"/>
                <w:u w:val="none"/>
                <w:lang w:val="en-US" w:eastAsia="zh-CN" w:bidi="ar"/>
              </w:rPr>
              <w:t>单位名称</w:t>
            </w:r>
          </w:p>
        </w:tc>
        <w:tc>
          <w:tcPr>
            <w:tcW w:w="544" w:type="dxa"/>
            <w:tcBorders>
              <w:top w:val="single" w:color="auto" w:sz="4" w:space="0"/>
              <w:left w:val="single" w:color="auto" w:sz="4" w:space="0"/>
              <w:bottom w:val="single" w:color="auto" w:sz="4" w:space="0"/>
              <w:right w:val="single" w:color="auto" w:sz="4" w:space="0"/>
            </w:tcBorders>
            <w:shd w:val="clear" w:color="000000" w:fill="4BACC6"/>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center"/>
              <w:rPr>
                <w:rFonts w:hint="eastAsia" w:ascii="仿宋" w:hAnsi="仿宋" w:eastAsia="仿宋" w:cs="仿宋"/>
                <w:b/>
                <w:i w:val="0"/>
                <w:strike w:val="0"/>
                <w:dstrike w:val="0"/>
                <w:color w:val="000000"/>
                <w:sz w:val="28"/>
                <w:szCs w:val="28"/>
                <w:u w:val="none"/>
              </w:rPr>
            </w:pPr>
            <w:r>
              <w:rPr>
                <w:rFonts w:hint="eastAsia" w:ascii="仿宋" w:hAnsi="仿宋" w:eastAsia="仿宋" w:cs="仿宋"/>
                <w:b/>
                <w:i w:val="0"/>
                <w:strike w:val="0"/>
                <w:dstrike w:val="0"/>
                <w:color w:val="000000"/>
                <w:kern w:val="0"/>
                <w:sz w:val="28"/>
                <w:szCs w:val="28"/>
                <w:u w:val="none"/>
                <w:lang w:val="en-US" w:eastAsia="zh-CN" w:bidi="ar"/>
              </w:rPr>
              <w:t>就业人数</w:t>
            </w:r>
          </w:p>
        </w:tc>
        <w:tc>
          <w:tcPr>
            <w:tcW w:w="3673" w:type="dxa"/>
            <w:tcBorders>
              <w:top w:val="single" w:color="auto" w:sz="4" w:space="0"/>
              <w:left w:val="single" w:color="auto" w:sz="4" w:space="0"/>
              <w:bottom w:val="single" w:color="auto" w:sz="4" w:space="0"/>
              <w:right w:val="single" w:color="auto" w:sz="4" w:space="0"/>
            </w:tcBorders>
            <w:shd w:val="clear" w:color="000000" w:fill="4BACC6"/>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center"/>
              <w:rPr>
                <w:rFonts w:hint="eastAsia" w:ascii="仿宋" w:hAnsi="仿宋" w:eastAsia="仿宋" w:cs="仿宋"/>
                <w:b/>
                <w:i w:val="0"/>
                <w:strike w:val="0"/>
                <w:dstrike w:val="0"/>
                <w:color w:val="000000"/>
                <w:sz w:val="28"/>
                <w:szCs w:val="28"/>
                <w:u w:val="none"/>
              </w:rPr>
            </w:pPr>
            <w:r>
              <w:rPr>
                <w:rFonts w:hint="eastAsia" w:ascii="仿宋" w:hAnsi="仿宋" w:eastAsia="仿宋" w:cs="仿宋"/>
                <w:b/>
                <w:i w:val="0"/>
                <w:strike w:val="0"/>
                <w:dstrike w:val="0"/>
                <w:color w:val="000000"/>
                <w:kern w:val="0"/>
                <w:sz w:val="28"/>
                <w:szCs w:val="28"/>
                <w:u w:val="none"/>
                <w:lang w:val="en-US" w:eastAsia="zh-CN" w:bidi="ar"/>
              </w:rPr>
              <w:t>单位名称</w:t>
            </w:r>
          </w:p>
        </w:tc>
        <w:tc>
          <w:tcPr>
            <w:tcW w:w="580" w:type="dxa"/>
            <w:tcBorders>
              <w:top w:val="single" w:color="auto" w:sz="4" w:space="0"/>
              <w:left w:val="single" w:color="auto" w:sz="4" w:space="0"/>
              <w:bottom w:val="single" w:color="auto" w:sz="4" w:space="0"/>
              <w:right w:val="single" w:color="auto" w:sz="4" w:space="0"/>
            </w:tcBorders>
            <w:shd w:val="clear" w:color="000000" w:fill="4BACC6"/>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center"/>
              <w:rPr>
                <w:rFonts w:hint="eastAsia" w:ascii="仿宋" w:hAnsi="仿宋" w:eastAsia="仿宋" w:cs="仿宋"/>
                <w:b/>
                <w:i w:val="0"/>
                <w:strike w:val="0"/>
                <w:dstrike w:val="0"/>
                <w:color w:val="000000"/>
                <w:sz w:val="28"/>
                <w:szCs w:val="28"/>
                <w:u w:val="none"/>
              </w:rPr>
            </w:pPr>
            <w:r>
              <w:rPr>
                <w:rFonts w:hint="eastAsia" w:ascii="仿宋" w:hAnsi="仿宋" w:eastAsia="仿宋" w:cs="仿宋"/>
                <w:b/>
                <w:i w:val="0"/>
                <w:strike w:val="0"/>
                <w:dstrike w:val="0"/>
                <w:color w:val="000000"/>
                <w:kern w:val="0"/>
                <w:sz w:val="28"/>
                <w:szCs w:val="28"/>
                <w:u w:val="none"/>
                <w:lang w:val="en-US" w:eastAsia="zh-CN" w:bidi="ar"/>
              </w:rPr>
              <w:t>就业人数</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长沙猿起科技信息有限公司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57</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浙江财纳福诺木业有限公司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中铁城建集团有限公司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45</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中国人寿保险股份有限公司临沂分公司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中国农业银行股份有限公司湖南省分行</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42</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中联重科股份有限公司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北京学而思教育科技有限公司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27</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广东坚朗五金制品股份有限公司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深圳慧通商务有限公司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27</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广发银行股份有限公司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中国建设银行股份有限公司广州分行</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22</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国网湖南省电力有限公司常德供电分公司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中国邮政储蓄银行股份有限公司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17</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湖南标普信息科技有限公司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北京中公教育科技股份有限公司长沙分公司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16</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湖南航天建筑工程有限公司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中国银行股份有限公司湖南省分行</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16</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湖南领跑仓储服务有限公司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国家税务总局广州市税务局</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15</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湖南软测信息技术有限公司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湖南德荣医疗实业发展集团有限公司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14</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湖南省沙坪建设有限公司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招商银行股份有限公司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14</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湖南潭州教育网络科技有限公司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中国工商银行股份有限公司常德分行</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12</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湖南万家平安医药营销服务有限公司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中审众环会计师事务所湖南分所</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12</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山村的鹰控股（深圳）有限公司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大汉城镇建设有限公司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10</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深圳市科翰培训中心有限公司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湖南路桥建设集团有限责任公司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10</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深圳市易佰网络科技有限公司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中国核工业第二二建设有限公司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10</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通号工程局集团建设工程有限公司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中国邮政集团公司湖南省分公司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10</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新疆建设兵团第十二师代管四十七团六连</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国家税务局（各省、市、县）</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9</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云南磐众商业管理有限责任公司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五矿二十三冶建设集团有限公司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9</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长沙创润房地产有限公司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广东博达科技有限公司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9</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长沙市环金网络科技有限公司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湖南农村商业银行股份有限公司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8</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长沙新城万博置业有限公司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深圳市齐乐模具科技有限公司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8</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中国建筑第五工程局有限公司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学而思教育科技有限公司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8</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中国人民银行常德市中心支行</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4</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湖南省第八工程有限公司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7</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OPPO广东移动通信有限公司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湖南省第五工程有限公司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7</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宝供物流企业集团有限公司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银盛支付服务股份有限公司湖南分公司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7</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北京千秋智业图书发行有限公司长沙分公司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中国一冶集团有限公司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7</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湖南艾朋贸易有限公司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中交第四公路工程局有限公司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7</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湖南成益建设集团有限公司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湖南省第四工程有限公司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6</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湖南南岭民爆工程有限公司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大信会计师事务所（特殊普通合伙）长沙分所</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6</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湖南天平正大会计师事务所有限公司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佛山市福金泰不锈钢有限公司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6</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湖南言趣教育科技有限公司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广州市保伦电子有限公司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6</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湖南宇田农业股份有限公司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好未来教育科技有限公司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6</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华润湖南新特药有限公司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湖南京邦达物流科技有限公司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6</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开元资产评估有限公司湖南分公司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湖南珠宝通科技有限公司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6</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丽江雪山投资有限责任公司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上海链家房地产经纪有限公司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6</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国家发展银行股份有限公司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深圳市通拓科技有限公司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6</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深圳市坤鑫国际货运代理有限公司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中原地产代理深圳有限公司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6</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深圳市普利工程咨询有限公司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中国水利水电第八工程局有限公司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5</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深圳市思考乐文化教育科技发展有限公司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步步高商业连锁股份有限公司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兴业银行股份有限公司南宁分行</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德佑房地产经纪有限公司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5</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长沙晨海工程咨询有限公司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湖南和本供应链有限公司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长沙市雨花区卢卢娃童装服饰有限公司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湖南省第六工程有限公司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5</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中城投第九建设集团有限公司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湖南新五丰股份有限公司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中国电信股份有限公司临桂分公司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湖南中农正邦生态农业发展有限公司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5</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中国水利水电第十二工程局有限公司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蓝思科技股份有限公司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中国移动通信集团湖南有限公司怀化分公司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深圳市有棵树科技有限公司</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5</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中信银行信用卡海口分中心</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深圳市中日通科技有限公司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筑友智造科技产业集团有限公司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天职国际会计师事务所湖南分所</w:t>
            </w:r>
          </w:p>
        </w:tc>
        <w:tc>
          <w:tcPr>
            <w:tcW w:w="54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5</w:t>
            </w:r>
          </w:p>
        </w:tc>
        <w:tc>
          <w:tcPr>
            <w:tcW w:w="3673"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color w:val="000000"/>
                <w:sz w:val="28"/>
                <w:szCs w:val="28"/>
                <w:u w:val="none"/>
              </w:rPr>
            </w:pPr>
            <w:r>
              <w:rPr>
                <w:rFonts w:hint="eastAsia" w:ascii="仿宋" w:hAnsi="仿宋" w:eastAsia="仿宋" w:cs="仿宋"/>
                <w:i w:val="0"/>
                <w:color w:val="000000"/>
                <w:kern w:val="0"/>
                <w:sz w:val="28"/>
                <w:szCs w:val="28"/>
                <w:u w:val="none"/>
                <w:lang w:val="en-US" w:eastAsia="zh-CN" w:bidi="ar"/>
              </w:rPr>
              <w:t>作业帮教育科技（北京）有限公司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3</w:t>
            </w:r>
          </w:p>
        </w:tc>
      </w:tr>
      <w:tr>
        <w:tblPrEx>
          <w:tblCellMar>
            <w:top w:w="0" w:type="dxa"/>
            <w:left w:w="0" w:type="dxa"/>
            <w:bottom w:w="0" w:type="dxa"/>
            <w:right w:w="0" w:type="dxa"/>
          </w:tblCellMar>
        </w:tblPrEx>
        <w:trPr>
          <w:trHeight w:val="772" w:hRule="exact"/>
        </w:trPr>
        <w:tc>
          <w:tcPr>
            <w:tcW w:w="380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益丰大药房连锁股份有限公司</w:t>
            </w:r>
          </w:p>
        </w:tc>
        <w:tc>
          <w:tcPr>
            <w:tcW w:w="544"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c>
          <w:tcPr>
            <w:tcW w:w="3673" w:type="dxa"/>
            <w:tcBorders>
              <w:top w:val="single" w:color="auto" w:sz="4" w:space="0"/>
              <w:left w:val="single" w:color="auto" w:sz="4" w:space="0"/>
              <w:bottom w:val="single" w:color="auto" w:sz="4" w:space="0"/>
              <w:right w:val="single" w:color="auto" w:sz="4" w:space="0"/>
            </w:tcBorders>
            <w:shd w:val="clear" w:color="DBE5F1" w:fill="DBE5F1"/>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湖南省第三工程有限公司</w:t>
            </w:r>
          </w:p>
        </w:tc>
        <w:tc>
          <w:tcPr>
            <w:tcW w:w="580" w:type="dxa"/>
            <w:tcBorders>
              <w:top w:val="single" w:color="auto" w:sz="4" w:space="0"/>
              <w:left w:val="single" w:color="auto" w:sz="4" w:space="0"/>
              <w:bottom w:val="single" w:color="auto" w:sz="4" w:space="0"/>
              <w:right w:val="single" w:color="auto" w:sz="4" w:space="0"/>
            </w:tcBorders>
            <w:shd w:val="clear" w:color="DBE5F1" w:fill="DBE5F1"/>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r>
      <w:tr>
        <w:tblPrEx>
          <w:tblCellMar>
            <w:top w:w="0" w:type="dxa"/>
            <w:left w:w="0" w:type="dxa"/>
            <w:bottom w:w="0" w:type="dxa"/>
            <w:right w:w="0" w:type="dxa"/>
          </w:tblCellMar>
        </w:tblPrEx>
        <w:trPr>
          <w:trHeight w:val="781" w:hRule="exact"/>
        </w:trPr>
        <w:tc>
          <w:tcPr>
            <w:tcW w:w="380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长沙夏忆服装有限公司</w:t>
            </w:r>
          </w:p>
        </w:tc>
        <w:tc>
          <w:tcPr>
            <w:tcW w:w="54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5</w:t>
            </w:r>
          </w:p>
        </w:tc>
        <w:tc>
          <w:tcPr>
            <w:tcW w:w="367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中建五局土木工程有限公司</w:t>
            </w:r>
          </w:p>
        </w:tc>
        <w:tc>
          <w:tcPr>
            <w:tcW w:w="5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center"/>
              <w:textAlignment w:val="bottom"/>
              <w:rPr>
                <w:rFonts w:hint="eastAsia" w:ascii="仿宋" w:hAnsi="仿宋" w:eastAsia="仿宋" w:cs="仿宋"/>
                <w:i w:val="0"/>
                <w:strike w:val="0"/>
                <w:dstrike w:val="0"/>
                <w:color w:val="000000"/>
                <w:sz w:val="28"/>
                <w:szCs w:val="28"/>
                <w:u w:val="none"/>
              </w:rPr>
            </w:pPr>
            <w:r>
              <w:rPr>
                <w:rFonts w:hint="eastAsia" w:ascii="仿宋" w:hAnsi="仿宋" w:eastAsia="仿宋" w:cs="仿宋"/>
                <w:i w:val="0"/>
                <w:strike w:val="0"/>
                <w:dstrike w:val="0"/>
                <w:color w:val="000000"/>
                <w:kern w:val="0"/>
                <w:sz w:val="28"/>
                <w:szCs w:val="28"/>
                <w:u w:val="none"/>
                <w:lang w:val="en-US" w:eastAsia="zh-CN" w:bidi="ar"/>
              </w:rPr>
              <w:t>2</w:t>
            </w:r>
          </w:p>
        </w:tc>
      </w:tr>
    </w:tbl>
    <w:p>
      <w:pPr>
        <w:rPr>
          <w:rFonts w:hint="eastAsia" w:ascii="仿宋" w:hAnsi="仿宋" w:eastAsia="仿宋" w:cs="仿宋"/>
          <w:color w:val="1F497D"/>
          <w:kern w:val="0"/>
          <w:sz w:val="32"/>
          <w:szCs w:val="32"/>
        </w:rPr>
      </w:pPr>
      <w:r>
        <w:rPr>
          <w:rFonts w:hint="eastAsia" w:ascii="仿宋" w:hAnsi="仿宋" w:eastAsia="仿宋" w:cs="仿宋"/>
          <w:color w:val="1F497D"/>
          <w:kern w:val="0"/>
          <w:sz w:val="32"/>
          <w:szCs w:val="32"/>
        </w:rPr>
        <w:br w:type="page"/>
      </w:r>
    </w:p>
    <w:p>
      <w:pPr>
        <w:pStyle w:val="3"/>
        <w:keepNext/>
        <w:keepLines/>
        <w:pageBreakBefore w:val="0"/>
        <w:widowControl w:val="0"/>
        <w:kinsoku/>
        <w:wordWrap/>
        <w:overflowPunct/>
        <w:topLinePunct w:val="0"/>
        <w:autoSpaceDE/>
        <w:autoSpaceDN/>
        <w:bidi w:val="0"/>
        <w:adjustRightInd/>
        <w:snapToGrid/>
        <w:spacing w:before="0" w:afterLines="100" w:line="240" w:lineRule="auto"/>
        <w:jc w:val="center"/>
        <w:textAlignment w:val="auto"/>
        <w:rPr>
          <w:rFonts w:hint="eastAsia" w:ascii="仿宋" w:hAnsi="仿宋" w:eastAsia="仿宋" w:cs="仿宋"/>
          <w:color w:val="1F497D"/>
          <w:kern w:val="0"/>
          <w:sz w:val="32"/>
          <w:szCs w:val="32"/>
        </w:rPr>
      </w:pPr>
      <w:bookmarkStart w:id="62" w:name="_Toc24294"/>
      <w:r>
        <w:rPr>
          <w:rFonts w:hint="eastAsia" w:ascii="仿宋" w:hAnsi="仿宋" w:eastAsia="仿宋" w:cs="仿宋"/>
          <w:color w:val="1F497D"/>
          <w:kern w:val="0"/>
          <w:sz w:val="32"/>
          <w:szCs w:val="32"/>
        </w:rPr>
        <w:t>第三部分  就业相关分析</w:t>
      </w:r>
      <w:bookmarkEnd w:id="61"/>
      <w:bookmarkEnd w:id="62"/>
    </w:p>
    <w:p>
      <w:pPr>
        <w:pStyle w:val="46"/>
        <w:keepNext w:val="0"/>
        <w:keepLines w:val="0"/>
        <w:pageBreakBefore w:val="0"/>
        <w:widowControl w:val="0"/>
        <w:kinsoku/>
        <w:wordWrap/>
        <w:overflowPunct/>
        <w:topLinePunct w:val="0"/>
        <w:autoSpaceDE/>
        <w:autoSpaceDN/>
        <w:bidi w:val="0"/>
        <w:adjustRightInd/>
        <w:snapToGrid/>
        <w:spacing w:before="157" w:beforeLines="50" w:after="157" w:afterLines="50"/>
        <w:ind w:firstLine="0" w:firstLineChars="0"/>
        <w:textAlignment w:val="auto"/>
        <w:outlineLvl w:val="1"/>
        <w:rPr>
          <w:rFonts w:hint="eastAsia" w:ascii="仿宋" w:hAnsi="仿宋" w:eastAsia="仿宋" w:cs="仿宋"/>
          <w:b/>
          <w:color w:val="1F497D"/>
          <w:sz w:val="32"/>
          <w:szCs w:val="32"/>
        </w:rPr>
      </w:pPr>
      <w:bookmarkStart w:id="63" w:name="_Toc5681"/>
      <w:bookmarkStart w:id="64" w:name="_Toc24687"/>
      <w:r>
        <w:rPr>
          <w:rFonts w:hint="eastAsia" w:ascii="仿宋" w:hAnsi="仿宋" w:eastAsia="仿宋" w:cs="仿宋"/>
          <w:b/>
          <w:color w:val="1F497D"/>
          <w:sz w:val="32"/>
          <w:szCs w:val="32"/>
        </w:rPr>
        <w:t>3.1</w:t>
      </w:r>
      <w:r>
        <w:rPr>
          <w:rFonts w:hint="eastAsia" w:ascii="仿宋" w:hAnsi="仿宋" w:eastAsia="仿宋" w:cs="仿宋"/>
          <w:b/>
          <w:color w:val="1F497D"/>
          <w:sz w:val="32"/>
          <w:szCs w:val="32"/>
          <w:lang w:val="en-US" w:eastAsia="zh-CN"/>
        </w:rPr>
        <w:t xml:space="preserve"> </w:t>
      </w:r>
      <w:r>
        <w:rPr>
          <w:rFonts w:hint="eastAsia" w:ascii="仿宋" w:hAnsi="仿宋" w:eastAsia="仿宋" w:cs="仿宋"/>
          <w:b/>
          <w:color w:val="1F497D"/>
          <w:sz w:val="32"/>
          <w:szCs w:val="32"/>
        </w:rPr>
        <w:t>就业质量分析</w:t>
      </w:r>
      <w:bookmarkEnd w:id="63"/>
      <w:bookmarkEnd w:id="64"/>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学校配合湖南省大中专毕业生就业指导中心第三方评价机构，以调研问卷的形式</w:t>
      </w:r>
      <w:r>
        <w:rPr>
          <w:rFonts w:hint="eastAsia" w:ascii="仿宋" w:hAnsi="仿宋" w:eastAsia="仿宋" w:cs="仿宋"/>
          <w:b w:val="0"/>
          <w:bCs w:val="0"/>
          <w:color w:val="000000"/>
          <w:sz w:val="28"/>
          <w:szCs w:val="28"/>
          <w:lang w:eastAsia="zh-CN"/>
        </w:rPr>
        <w:t>就</w:t>
      </w:r>
      <w:r>
        <w:rPr>
          <w:rFonts w:hint="eastAsia" w:ascii="仿宋" w:hAnsi="仿宋" w:eastAsia="仿宋" w:cs="仿宋"/>
          <w:b w:val="0"/>
          <w:bCs w:val="0"/>
          <w:color w:val="000000"/>
          <w:sz w:val="28"/>
          <w:szCs w:val="28"/>
        </w:rPr>
        <w:t>我校20</w:t>
      </w:r>
      <w:r>
        <w:rPr>
          <w:rFonts w:hint="eastAsia" w:ascii="仿宋" w:hAnsi="仿宋" w:eastAsia="仿宋" w:cs="仿宋"/>
          <w:b w:val="0"/>
          <w:bCs w:val="0"/>
          <w:color w:val="000000"/>
          <w:sz w:val="28"/>
          <w:szCs w:val="28"/>
          <w:lang w:val="en-US" w:eastAsia="zh-CN"/>
        </w:rPr>
        <w:t>20</w:t>
      </w:r>
      <w:r>
        <w:rPr>
          <w:rFonts w:hint="eastAsia" w:ascii="仿宋" w:hAnsi="仿宋" w:eastAsia="仿宋" w:cs="仿宋"/>
          <w:b w:val="0"/>
          <w:bCs w:val="0"/>
          <w:color w:val="000000"/>
          <w:sz w:val="28"/>
          <w:szCs w:val="28"/>
        </w:rPr>
        <w:t>届毕业生</w:t>
      </w:r>
      <w:r>
        <w:rPr>
          <w:rFonts w:hint="eastAsia" w:ascii="仿宋" w:hAnsi="仿宋" w:eastAsia="仿宋" w:cs="仿宋"/>
          <w:b w:val="0"/>
          <w:bCs w:val="0"/>
          <w:i w:val="0"/>
          <w:color w:val="000000" w:themeColor="text1"/>
          <w:kern w:val="0"/>
          <w:sz w:val="28"/>
          <w:szCs w:val="28"/>
          <w:u w:val="none"/>
          <w:lang w:val="en-US" w:eastAsia="zh-CN" w:bidi="ar"/>
          <w14:textFill>
            <w14:solidFill>
              <w14:schemeClr w14:val="tx1"/>
            </w14:solidFill>
          </w14:textFill>
        </w:rPr>
        <w:t>对所学专业的了解程度、</w:t>
      </w:r>
      <w:r>
        <w:rPr>
          <w:rFonts w:hint="eastAsia" w:ascii="仿宋" w:hAnsi="仿宋" w:eastAsia="仿宋" w:cs="仿宋"/>
          <w:b w:val="0"/>
          <w:bCs w:val="0"/>
          <w:i w:val="0"/>
          <w:color w:val="auto"/>
          <w:kern w:val="0"/>
          <w:sz w:val="28"/>
          <w:szCs w:val="28"/>
          <w:u w:val="none"/>
          <w:lang w:val="en-US" w:eastAsia="zh-CN" w:bidi="ar"/>
        </w:rPr>
        <w:t>认为本专业的就业前景和所学的专业课程能否满足就业岗位的技能要求等指标，</w:t>
      </w:r>
      <w:r>
        <w:rPr>
          <w:rFonts w:hint="eastAsia" w:ascii="仿宋" w:hAnsi="仿宋" w:eastAsia="仿宋" w:cs="仿宋"/>
          <w:b w:val="0"/>
          <w:bCs w:val="0"/>
          <w:color w:val="000000"/>
          <w:sz w:val="28"/>
          <w:szCs w:val="28"/>
        </w:rPr>
        <w:t>在网上进行问卷调查。</w:t>
      </w:r>
      <w:r>
        <w:rPr>
          <w:rFonts w:hint="eastAsia" w:ascii="仿宋" w:hAnsi="仿宋" w:eastAsia="仿宋" w:cs="仿宋"/>
          <w:b w:val="0"/>
          <w:bCs w:val="0"/>
          <w:color w:val="000000"/>
          <w:sz w:val="28"/>
          <w:szCs w:val="28"/>
          <w:lang w:eastAsia="zh-CN"/>
        </w:rPr>
        <w:t>调查结果显示：</w:t>
      </w:r>
      <w:r>
        <w:rPr>
          <w:rFonts w:hint="eastAsia" w:ascii="仿宋" w:hAnsi="仿宋" w:eastAsia="仿宋" w:cs="仿宋"/>
          <w:b w:val="0"/>
          <w:bCs w:val="0"/>
          <w:i w:val="0"/>
          <w:color w:val="auto"/>
          <w:kern w:val="0"/>
          <w:sz w:val="28"/>
          <w:szCs w:val="28"/>
          <w:u w:val="none"/>
          <w:lang w:val="en-US" w:eastAsia="zh-CN" w:bidi="ar"/>
        </w:rPr>
        <w:t>完全了解</w:t>
      </w:r>
      <w:r>
        <w:rPr>
          <w:rFonts w:hint="eastAsia" w:ascii="仿宋" w:hAnsi="仿宋" w:eastAsia="仿宋" w:cs="仿宋"/>
          <w:b w:val="0"/>
          <w:bCs w:val="0"/>
          <w:i w:val="0"/>
          <w:color w:val="000000" w:themeColor="text1"/>
          <w:kern w:val="0"/>
          <w:sz w:val="28"/>
          <w:szCs w:val="28"/>
          <w:u w:val="none"/>
          <w:lang w:val="en-US" w:eastAsia="zh-CN" w:bidi="ar"/>
          <w14:textFill>
            <w14:solidFill>
              <w14:schemeClr w14:val="tx1"/>
            </w14:solidFill>
          </w14:textFill>
        </w:rPr>
        <w:t>所学专业的占53.92%；</w:t>
      </w:r>
      <w:r>
        <w:rPr>
          <w:rFonts w:hint="eastAsia" w:ascii="仿宋" w:hAnsi="仿宋" w:eastAsia="仿宋" w:cs="仿宋"/>
          <w:b w:val="0"/>
          <w:bCs w:val="0"/>
          <w:i w:val="0"/>
          <w:color w:val="auto"/>
          <w:kern w:val="0"/>
          <w:sz w:val="28"/>
          <w:szCs w:val="28"/>
          <w:u w:val="none"/>
          <w:lang w:val="en-US" w:eastAsia="zh-CN" w:bidi="ar"/>
        </w:rPr>
        <w:t>认为本专业的就业前景非常好和比较好的占22.15%；所学的专业课程完全满足和大概满足就业岗位技能要求的占54.81%。</w:t>
      </w:r>
      <w:r>
        <w:rPr>
          <w:rFonts w:hint="eastAsia" w:ascii="仿宋" w:hAnsi="仿宋" w:eastAsia="仿宋" w:cs="仿宋"/>
          <w:b w:val="0"/>
          <w:bCs w:val="0"/>
          <w:color w:val="000000"/>
          <w:sz w:val="28"/>
          <w:szCs w:val="28"/>
        </w:rPr>
        <w:t>具体情况见表</w:t>
      </w:r>
      <w:r>
        <w:rPr>
          <w:rFonts w:hint="eastAsia" w:ascii="仿宋" w:hAnsi="仿宋" w:eastAsia="仿宋" w:cs="仿宋"/>
          <w:b w:val="0"/>
          <w:bCs w:val="0"/>
          <w:color w:val="000000"/>
          <w:sz w:val="28"/>
          <w:szCs w:val="28"/>
          <w:lang w:val="en-US" w:eastAsia="zh-CN"/>
        </w:rPr>
        <w:t>3</w:t>
      </w:r>
      <w:r>
        <w:rPr>
          <w:rFonts w:hint="eastAsia" w:ascii="仿宋" w:hAnsi="仿宋" w:eastAsia="仿宋" w:cs="仿宋"/>
          <w:b w:val="0"/>
          <w:bCs w:val="0"/>
          <w:color w:val="000000"/>
          <w:sz w:val="28"/>
          <w:szCs w:val="28"/>
        </w:rPr>
        <w:t>-1。</w:t>
      </w:r>
    </w:p>
    <w:p>
      <w:pPr>
        <w:spacing w:line="360" w:lineRule="auto"/>
        <w:jc w:val="center"/>
        <w:rPr>
          <w:rFonts w:hint="eastAsia" w:ascii="仿宋" w:hAnsi="仿宋" w:eastAsia="仿宋" w:cs="仿宋"/>
          <w:b/>
          <w:sz w:val="28"/>
          <w:szCs w:val="28"/>
        </w:rPr>
      </w:pPr>
      <w:r>
        <w:rPr>
          <w:rFonts w:hint="eastAsia" w:ascii="仿宋" w:hAnsi="仿宋" w:eastAsia="仿宋" w:cs="仿宋"/>
          <w:b/>
          <w:sz w:val="28"/>
          <w:szCs w:val="28"/>
        </w:rPr>
        <w:t>表</w:t>
      </w:r>
      <w:r>
        <w:rPr>
          <w:rFonts w:hint="eastAsia" w:ascii="仿宋" w:hAnsi="仿宋" w:eastAsia="仿宋" w:cs="仿宋"/>
          <w:b/>
          <w:sz w:val="28"/>
          <w:szCs w:val="28"/>
          <w:lang w:val="en-US" w:eastAsia="zh-CN"/>
        </w:rPr>
        <w:t>3</w:t>
      </w:r>
      <w:r>
        <w:rPr>
          <w:rFonts w:hint="eastAsia" w:ascii="仿宋" w:hAnsi="仿宋" w:eastAsia="仿宋" w:cs="仿宋"/>
          <w:b/>
          <w:sz w:val="28"/>
          <w:szCs w:val="28"/>
        </w:rPr>
        <w:t>-1  20</w:t>
      </w:r>
      <w:r>
        <w:rPr>
          <w:rFonts w:hint="eastAsia" w:ascii="仿宋" w:hAnsi="仿宋" w:eastAsia="仿宋" w:cs="仿宋"/>
          <w:b/>
          <w:sz w:val="28"/>
          <w:szCs w:val="28"/>
          <w:lang w:val="en-US" w:eastAsia="zh-CN"/>
        </w:rPr>
        <w:t>20</w:t>
      </w:r>
      <w:r>
        <w:rPr>
          <w:rFonts w:hint="eastAsia" w:ascii="仿宋" w:hAnsi="仿宋" w:eastAsia="仿宋" w:cs="仿宋"/>
          <w:b/>
          <w:sz w:val="28"/>
          <w:szCs w:val="28"/>
        </w:rPr>
        <w:t>年毕业生</w:t>
      </w:r>
      <w:r>
        <w:rPr>
          <w:rFonts w:hint="eastAsia" w:ascii="仿宋" w:hAnsi="仿宋" w:eastAsia="仿宋" w:cs="仿宋"/>
          <w:b/>
          <w:sz w:val="28"/>
          <w:szCs w:val="28"/>
          <w:lang w:eastAsia="zh-CN"/>
        </w:rPr>
        <w:t>问卷调查情况</w:t>
      </w:r>
      <w:r>
        <w:rPr>
          <w:rFonts w:hint="eastAsia" w:ascii="仿宋" w:hAnsi="仿宋" w:eastAsia="仿宋" w:cs="仿宋"/>
          <w:b/>
          <w:sz w:val="28"/>
          <w:szCs w:val="28"/>
        </w:rPr>
        <w:t>统计表</w:t>
      </w:r>
    </w:p>
    <w:tbl>
      <w:tblPr>
        <w:tblStyle w:val="18"/>
        <w:tblW w:w="9220" w:type="dxa"/>
        <w:jc w:val="center"/>
        <w:shd w:val="clear" w:color="auto" w:fill="auto"/>
        <w:tblLayout w:type="fixed"/>
        <w:tblCellMar>
          <w:top w:w="0" w:type="dxa"/>
          <w:left w:w="0" w:type="dxa"/>
          <w:bottom w:w="0" w:type="dxa"/>
          <w:right w:w="0" w:type="dxa"/>
        </w:tblCellMar>
      </w:tblPr>
      <w:tblGrid>
        <w:gridCol w:w="647"/>
        <w:gridCol w:w="557"/>
        <w:gridCol w:w="618"/>
        <w:gridCol w:w="707"/>
        <w:gridCol w:w="586"/>
        <w:gridCol w:w="604"/>
        <w:gridCol w:w="533"/>
        <w:gridCol w:w="648"/>
        <w:gridCol w:w="572"/>
        <w:gridCol w:w="603"/>
        <w:gridCol w:w="711"/>
        <w:gridCol w:w="1117"/>
        <w:gridCol w:w="543"/>
        <w:gridCol w:w="774"/>
      </w:tblGrid>
      <w:tr>
        <w:tblPrEx>
          <w:tblCellMar>
            <w:top w:w="0" w:type="dxa"/>
            <w:left w:w="0" w:type="dxa"/>
            <w:bottom w:w="0" w:type="dxa"/>
            <w:right w:w="0" w:type="dxa"/>
          </w:tblCellMar>
        </w:tblPrEx>
        <w:trPr>
          <w:trHeight w:val="1165" w:hRule="atLeast"/>
          <w:jc w:val="center"/>
        </w:trPr>
        <w:tc>
          <w:tcPr>
            <w:tcW w:w="2529" w:type="dxa"/>
            <w:gridSpan w:val="4"/>
            <w:tcBorders>
              <w:top w:val="single" w:color="000000" w:sz="8" w:space="0"/>
              <w:left w:val="single" w:color="000000" w:sz="8" w:space="0"/>
              <w:bottom w:val="single" w:color="000000" w:sz="8" w:space="0"/>
              <w:right w:val="single" w:color="000000" w:sz="8" w:space="0"/>
            </w:tcBorders>
            <w:shd w:val="clear" w:color="000000" w:fill="538ED5"/>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left="-105" w:leftChars="-50" w:right="-105" w:rightChars="-50"/>
              <w:jc w:val="center"/>
              <w:textAlignment w:val="center"/>
              <w:rPr>
                <w:rFonts w:hint="eastAsia" w:ascii="仿宋" w:hAnsi="仿宋" w:eastAsia="仿宋" w:cs="仿宋"/>
                <w:b/>
                <w:i w:val="0"/>
                <w:color w:val="FFFFFF" w:themeColor="background1"/>
                <w:kern w:val="0"/>
                <w:sz w:val="24"/>
                <w:szCs w:val="24"/>
                <w:u w:val="none"/>
                <w:lang w:val="en-US" w:eastAsia="zh-CN" w:bidi="ar"/>
                <w14:textFill>
                  <w14:solidFill>
                    <w14:schemeClr w14:val="bg1"/>
                  </w14:solidFill>
                </w14:textFill>
              </w:rPr>
            </w:pPr>
            <w:r>
              <w:rPr>
                <w:rFonts w:hint="eastAsia" w:ascii="仿宋" w:hAnsi="仿宋" w:eastAsia="仿宋" w:cs="仿宋"/>
                <w:b/>
                <w:i w:val="0"/>
                <w:color w:val="FFFFFF" w:themeColor="background1"/>
                <w:kern w:val="0"/>
                <w:sz w:val="24"/>
                <w:szCs w:val="24"/>
                <w:u w:val="none"/>
                <w:lang w:val="en-US" w:eastAsia="zh-CN" w:bidi="ar"/>
                <w14:textFill>
                  <w14:solidFill>
                    <w14:schemeClr w14:val="bg1"/>
                  </w14:solidFill>
                </w14:textFill>
              </w:rPr>
              <w:t xml:space="preserve"> 对所学专业的了解程度</w:t>
            </w:r>
          </w:p>
          <w:p>
            <w:pPr>
              <w:keepNext w:val="0"/>
              <w:keepLines w:val="0"/>
              <w:pageBreakBefore w:val="0"/>
              <w:widowControl/>
              <w:suppressLineNumbers w:val="0"/>
              <w:kinsoku/>
              <w:wordWrap/>
              <w:overflowPunct/>
              <w:topLinePunct w:val="0"/>
              <w:autoSpaceDE/>
              <w:autoSpaceDN/>
              <w:bidi w:val="0"/>
              <w:adjustRightInd/>
              <w:snapToGrid/>
              <w:spacing w:line="360" w:lineRule="exact"/>
              <w:ind w:left="-105" w:leftChars="-50" w:right="-105" w:rightChars="-50"/>
              <w:jc w:val="center"/>
              <w:textAlignment w:val="center"/>
              <w:rPr>
                <w:rFonts w:hint="eastAsia" w:ascii="仿宋" w:hAnsi="仿宋" w:eastAsia="仿宋" w:cs="仿宋"/>
                <w:b/>
                <w:i w:val="0"/>
                <w:color w:val="FFFFFF" w:themeColor="background1"/>
                <w:sz w:val="24"/>
                <w:szCs w:val="24"/>
                <w:u w:val="none"/>
                <w14:textFill>
                  <w14:solidFill>
                    <w14:schemeClr w14:val="bg1"/>
                  </w14:solidFill>
                </w14:textFill>
              </w:rPr>
            </w:pPr>
            <w:r>
              <w:rPr>
                <w:rFonts w:hint="eastAsia" w:ascii="仿宋" w:hAnsi="仿宋" w:eastAsia="仿宋" w:cs="仿宋"/>
                <w:b/>
                <w:i w:val="0"/>
                <w:color w:val="FFFFFF" w:themeColor="background1"/>
                <w:kern w:val="0"/>
                <w:sz w:val="24"/>
                <w:szCs w:val="24"/>
                <w:u w:val="none"/>
                <w:lang w:val="en-US" w:eastAsia="zh-CN" w:bidi="ar"/>
                <w14:textFill>
                  <w14:solidFill>
                    <w14:schemeClr w14:val="bg1"/>
                  </w14:solidFill>
                </w14:textFill>
              </w:rPr>
              <w:t>（有效问卷1210份）</w:t>
            </w:r>
          </w:p>
        </w:tc>
        <w:tc>
          <w:tcPr>
            <w:tcW w:w="2943" w:type="dxa"/>
            <w:gridSpan w:val="5"/>
            <w:tcBorders>
              <w:top w:val="single" w:color="000000" w:sz="8" w:space="0"/>
              <w:left w:val="nil"/>
              <w:bottom w:val="single" w:color="000000" w:sz="8" w:space="0"/>
              <w:right w:val="single" w:color="000000" w:sz="8" w:space="0"/>
            </w:tcBorders>
            <w:shd w:val="clear" w:color="000000" w:fill="538ED5"/>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b/>
                <w:i w:val="0"/>
                <w:color w:val="FFFFFF" w:themeColor="background1"/>
                <w:kern w:val="0"/>
                <w:sz w:val="24"/>
                <w:szCs w:val="24"/>
                <w:u w:val="none"/>
                <w:lang w:val="en-US" w:eastAsia="zh-CN" w:bidi="ar"/>
                <w14:textFill>
                  <w14:solidFill>
                    <w14:schemeClr w14:val="bg1"/>
                  </w14:solidFill>
                </w14:textFill>
              </w:rPr>
            </w:pPr>
            <w:r>
              <w:rPr>
                <w:rFonts w:hint="eastAsia" w:ascii="仿宋" w:hAnsi="仿宋" w:eastAsia="仿宋" w:cs="仿宋"/>
                <w:b/>
                <w:i w:val="0"/>
                <w:color w:val="FFFFFF" w:themeColor="background1"/>
                <w:kern w:val="0"/>
                <w:sz w:val="24"/>
                <w:szCs w:val="24"/>
                <w:u w:val="none"/>
                <w:lang w:val="en-US" w:eastAsia="zh-CN" w:bidi="ar"/>
                <w14:textFill>
                  <w14:solidFill>
                    <w14:schemeClr w14:val="bg1"/>
                  </w14:solidFill>
                </w14:textFill>
              </w:rPr>
              <w:t>认为本专业的就业前景</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b/>
                <w:i w:val="0"/>
                <w:color w:val="FFFFFF" w:themeColor="background1"/>
                <w:sz w:val="24"/>
                <w:szCs w:val="24"/>
                <w:u w:val="none"/>
                <w14:textFill>
                  <w14:solidFill>
                    <w14:schemeClr w14:val="bg1"/>
                  </w14:solidFill>
                </w14:textFill>
              </w:rPr>
            </w:pPr>
            <w:r>
              <w:rPr>
                <w:rFonts w:hint="eastAsia" w:ascii="仿宋" w:hAnsi="仿宋" w:eastAsia="仿宋" w:cs="仿宋"/>
                <w:b/>
                <w:i w:val="0"/>
                <w:color w:val="FFFFFF" w:themeColor="background1"/>
                <w:kern w:val="0"/>
                <w:sz w:val="24"/>
                <w:szCs w:val="24"/>
                <w:u w:val="none"/>
                <w:lang w:val="en-US" w:eastAsia="zh-CN" w:bidi="ar"/>
                <w14:textFill>
                  <w14:solidFill>
                    <w14:schemeClr w14:val="bg1"/>
                  </w14:solidFill>
                </w14:textFill>
              </w:rPr>
              <w:t>（有效问卷1210份）</w:t>
            </w:r>
          </w:p>
        </w:tc>
        <w:tc>
          <w:tcPr>
            <w:tcW w:w="3748" w:type="dxa"/>
            <w:gridSpan w:val="5"/>
            <w:tcBorders>
              <w:top w:val="single" w:color="000000" w:sz="8" w:space="0"/>
              <w:left w:val="nil"/>
              <w:bottom w:val="single" w:color="000000" w:sz="8" w:space="0"/>
              <w:right w:val="single" w:color="000000" w:sz="8" w:space="0"/>
            </w:tcBorders>
            <w:shd w:val="clear" w:color="000000" w:fill="538ED5"/>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 w:hAnsi="仿宋" w:eastAsia="仿宋" w:cs="仿宋"/>
                <w:b/>
                <w:i w:val="0"/>
                <w:color w:val="FFFFFF" w:themeColor="background1"/>
                <w:sz w:val="24"/>
                <w:szCs w:val="24"/>
                <w:u w:val="none"/>
                <w14:textFill>
                  <w14:solidFill>
                    <w14:schemeClr w14:val="bg1"/>
                  </w14:solidFill>
                </w14:textFill>
              </w:rPr>
            </w:pPr>
            <w:r>
              <w:rPr>
                <w:rFonts w:hint="eastAsia" w:ascii="仿宋" w:hAnsi="仿宋" w:eastAsia="仿宋" w:cs="仿宋"/>
                <w:b/>
                <w:i w:val="0"/>
                <w:color w:val="FFFFFF" w:themeColor="background1"/>
                <w:kern w:val="0"/>
                <w:sz w:val="24"/>
                <w:szCs w:val="24"/>
                <w:u w:val="none"/>
                <w:lang w:val="en-US" w:eastAsia="zh-CN" w:bidi="ar"/>
                <w14:textFill>
                  <w14:solidFill>
                    <w14:schemeClr w14:val="bg1"/>
                  </w14:solidFill>
                </w14:textFill>
              </w:rPr>
              <w:t xml:space="preserve"> 所学专业课程能否满足就业岗位技能要求（有效问卷593份）</w:t>
            </w:r>
          </w:p>
        </w:tc>
      </w:tr>
      <w:tr>
        <w:tblPrEx>
          <w:tblCellMar>
            <w:top w:w="0" w:type="dxa"/>
            <w:left w:w="0" w:type="dxa"/>
            <w:bottom w:w="0" w:type="dxa"/>
            <w:right w:w="0" w:type="dxa"/>
          </w:tblCellMar>
        </w:tblPrEx>
        <w:trPr>
          <w:trHeight w:val="1369" w:hRule="atLeast"/>
          <w:jc w:val="center"/>
        </w:trPr>
        <w:tc>
          <w:tcPr>
            <w:tcW w:w="647"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557"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完全了解</w:t>
            </w:r>
          </w:p>
        </w:tc>
        <w:tc>
          <w:tcPr>
            <w:tcW w:w="618"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一知半解</w:t>
            </w:r>
          </w:p>
        </w:tc>
        <w:tc>
          <w:tcPr>
            <w:tcW w:w="707"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完全不了解</w:t>
            </w:r>
          </w:p>
        </w:tc>
        <w:tc>
          <w:tcPr>
            <w:tcW w:w="58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非常好</w:t>
            </w:r>
          </w:p>
        </w:tc>
        <w:tc>
          <w:tcPr>
            <w:tcW w:w="604"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比较好</w:t>
            </w:r>
          </w:p>
        </w:tc>
        <w:tc>
          <w:tcPr>
            <w:tcW w:w="53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一般</w:t>
            </w:r>
          </w:p>
        </w:tc>
        <w:tc>
          <w:tcPr>
            <w:tcW w:w="648"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有点严峻</w:t>
            </w:r>
          </w:p>
        </w:tc>
        <w:tc>
          <w:tcPr>
            <w:tcW w:w="572"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十分严峻</w:t>
            </w:r>
          </w:p>
        </w:tc>
        <w:tc>
          <w:tcPr>
            <w:tcW w:w="60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完全满足</w:t>
            </w:r>
          </w:p>
        </w:tc>
        <w:tc>
          <w:tcPr>
            <w:tcW w:w="711"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大概满足</w:t>
            </w:r>
          </w:p>
        </w:tc>
        <w:tc>
          <w:tcPr>
            <w:tcW w:w="1117"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不太清楚，需进一步实践</w:t>
            </w:r>
          </w:p>
        </w:tc>
        <w:tc>
          <w:tcPr>
            <w:tcW w:w="54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不太满足</w:t>
            </w:r>
          </w:p>
        </w:tc>
        <w:tc>
          <w:tcPr>
            <w:tcW w:w="774"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完全不满足</w:t>
            </w:r>
          </w:p>
        </w:tc>
      </w:tr>
      <w:tr>
        <w:tblPrEx>
          <w:tblCellMar>
            <w:top w:w="0" w:type="dxa"/>
            <w:left w:w="0" w:type="dxa"/>
            <w:bottom w:w="0" w:type="dxa"/>
            <w:right w:w="0" w:type="dxa"/>
          </w:tblCellMar>
        </w:tblPrEx>
        <w:trPr>
          <w:trHeight w:val="1113" w:hRule="atLeast"/>
          <w:jc w:val="center"/>
        </w:trPr>
        <w:tc>
          <w:tcPr>
            <w:tcW w:w="647"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有效问卷份数</w:t>
            </w:r>
          </w:p>
        </w:tc>
        <w:tc>
          <w:tcPr>
            <w:tcW w:w="557"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650</w:t>
            </w:r>
          </w:p>
        </w:tc>
        <w:tc>
          <w:tcPr>
            <w:tcW w:w="618"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549</w:t>
            </w:r>
          </w:p>
        </w:tc>
        <w:tc>
          <w:tcPr>
            <w:tcW w:w="707"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11</w:t>
            </w:r>
          </w:p>
        </w:tc>
        <w:tc>
          <w:tcPr>
            <w:tcW w:w="58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23</w:t>
            </w:r>
          </w:p>
        </w:tc>
        <w:tc>
          <w:tcPr>
            <w:tcW w:w="604"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245</w:t>
            </w:r>
          </w:p>
        </w:tc>
        <w:tc>
          <w:tcPr>
            <w:tcW w:w="53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422</w:t>
            </w:r>
          </w:p>
        </w:tc>
        <w:tc>
          <w:tcPr>
            <w:tcW w:w="648"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422</w:t>
            </w:r>
          </w:p>
        </w:tc>
        <w:tc>
          <w:tcPr>
            <w:tcW w:w="572"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98</w:t>
            </w:r>
          </w:p>
        </w:tc>
        <w:tc>
          <w:tcPr>
            <w:tcW w:w="603"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37</w:t>
            </w:r>
          </w:p>
        </w:tc>
        <w:tc>
          <w:tcPr>
            <w:tcW w:w="711"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288</w:t>
            </w:r>
          </w:p>
        </w:tc>
        <w:tc>
          <w:tcPr>
            <w:tcW w:w="1117" w:type="dxa"/>
            <w:tcBorders>
              <w:top w:val="nil"/>
              <w:left w:val="nil"/>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32</w:t>
            </w:r>
          </w:p>
        </w:tc>
        <w:tc>
          <w:tcPr>
            <w:tcW w:w="54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208</w:t>
            </w:r>
          </w:p>
        </w:tc>
        <w:tc>
          <w:tcPr>
            <w:tcW w:w="774"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28</w:t>
            </w:r>
          </w:p>
        </w:tc>
      </w:tr>
      <w:tr>
        <w:tblPrEx>
          <w:tblCellMar>
            <w:top w:w="0" w:type="dxa"/>
            <w:left w:w="0" w:type="dxa"/>
            <w:bottom w:w="0" w:type="dxa"/>
            <w:right w:w="0" w:type="dxa"/>
          </w:tblCellMar>
        </w:tblPrEx>
        <w:trPr>
          <w:trHeight w:val="1558" w:hRule="atLeast"/>
          <w:jc w:val="center"/>
        </w:trPr>
        <w:tc>
          <w:tcPr>
            <w:tcW w:w="647"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所占比例(%)</w:t>
            </w:r>
          </w:p>
        </w:tc>
        <w:tc>
          <w:tcPr>
            <w:tcW w:w="557"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53.9</w:t>
            </w:r>
          </w:p>
        </w:tc>
        <w:tc>
          <w:tcPr>
            <w:tcW w:w="618"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45.37</w:t>
            </w:r>
          </w:p>
        </w:tc>
        <w:tc>
          <w:tcPr>
            <w:tcW w:w="707"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0.91</w:t>
            </w:r>
          </w:p>
        </w:tc>
        <w:tc>
          <w:tcPr>
            <w:tcW w:w="58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1.9</w:t>
            </w:r>
          </w:p>
        </w:tc>
        <w:tc>
          <w:tcPr>
            <w:tcW w:w="604"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20.25</w:t>
            </w:r>
          </w:p>
        </w:tc>
        <w:tc>
          <w:tcPr>
            <w:tcW w:w="53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34.88</w:t>
            </w:r>
          </w:p>
        </w:tc>
        <w:tc>
          <w:tcPr>
            <w:tcW w:w="648"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34.88</w:t>
            </w:r>
          </w:p>
        </w:tc>
        <w:tc>
          <w:tcPr>
            <w:tcW w:w="572"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8.1</w:t>
            </w:r>
          </w:p>
        </w:tc>
        <w:tc>
          <w:tcPr>
            <w:tcW w:w="60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6.24</w:t>
            </w:r>
          </w:p>
        </w:tc>
        <w:tc>
          <w:tcPr>
            <w:tcW w:w="711"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48.57</w:t>
            </w:r>
          </w:p>
        </w:tc>
        <w:tc>
          <w:tcPr>
            <w:tcW w:w="1117"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5.4</w:t>
            </w:r>
          </w:p>
        </w:tc>
        <w:tc>
          <w:tcPr>
            <w:tcW w:w="543"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35.08</w:t>
            </w:r>
          </w:p>
        </w:tc>
        <w:tc>
          <w:tcPr>
            <w:tcW w:w="774"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ind w:left="-105" w:leftChars="-50" w:right="-105" w:rightChars="-5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4.7</w:t>
            </w:r>
          </w:p>
        </w:tc>
      </w:tr>
    </w:tbl>
    <w:p>
      <w:pPr>
        <w:pStyle w:val="5"/>
        <w:spacing w:before="0" w:after="0" w:line="240" w:lineRule="auto"/>
        <w:rPr>
          <w:rFonts w:hint="eastAsia" w:ascii="仿宋" w:hAnsi="仿宋" w:eastAsia="仿宋" w:cs="仿宋"/>
          <w:color w:val="1F497D"/>
          <w:sz w:val="30"/>
          <w:szCs w:val="30"/>
        </w:rPr>
      </w:pPr>
      <w:bookmarkStart w:id="65" w:name="_Toc22549"/>
      <w:bookmarkStart w:id="66" w:name="_Toc9574"/>
      <w:r>
        <w:rPr>
          <w:rFonts w:hint="eastAsia" w:ascii="仿宋" w:hAnsi="仿宋" w:eastAsia="仿宋" w:cs="仿宋"/>
          <w:color w:val="1F497D"/>
          <w:sz w:val="30"/>
          <w:szCs w:val="30"/>
        </w:rPr>
        <w:t>3.1.1就业单位与专业相关度</w:t>
      </w:r>
      <w:bookmarkEnd w:id="65"/>
      <w:r>
        <w:rPr>
          <w:rFonts w:hint="eastAsia" w:ascii="仿宋" w:hAnsi="仿宋" w:eastAsia="仿宋" w:cs="仿宋"/>
          <w:color w:val="1F497D"/>
          <w:sz w:val="30"/>
          <w:szCs w:val="30"/>
        </w:rPr>
        <w:t>的评价</w:t>
      </w:r>
      <w:bookmarkEnd w:id="66"/>
    </w:p>
    <w:p>
      <w:pPr>
        <w:ind w:firstLine="560" w:firstLineChars="200"/>
        <w:jc w:val="both"/>
        <w:rPr>
          <w:rFonts w:hint="eastAsia" w:ascii="仿宋" w:hAnsi="仿宋" w:eastAsia="仿宋" w:cs="仿宋"/>
          <w:color w:val="000000"/>
          <w:sz w:val="28"/>
          <w:szCs w:val="28"/>
        </w:rPr>
      </w:pPr>
      <w:r>
        <w:rPr>
          <w:rFonts w:hint="eastAsia" w:ascii="仿宋" w:hAnsi="仿宋" w:eastAsia="仿宋" w:cs="仿宋"/>
          <w:color w:val="000000"/>
          <w:sz w:val="28"/>
          <w:szCs w:val="28"/>
        </w:rPr>
        <w:t>学校配合湖南省大中专毕业生就业指导中心第三方评价机构，以调研问卷的形式对我校20</w:t>
      </w: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届</w:t>
      </w:r>
      <w:r>
        <w:rPr>
          <w:rFonts w:hint="eastAsia" w:ascii="仿宋" w:hAnsi="仿宋" w:eastAsia="仿宋" w:cs="仿宋"/>
          <w:color w:val="000000"/>
          <w:sz w:val="28"/>
          <w:szCs w:val="28"/>
          <w:lang w:val="en-US" w:eastAsia="zh-CN"/>
        </w:rPr>
        <w:t>594</w:t>
      </w:r>
      <w:r>
        <w:rPr>
          <w:rFonts w:hint="eastAsia" w:ascii="仿宋" w:hAnsi="仿宋" w:eastAsia="仿宋" w:cs="仿宋"/>
          <w:color w:val="000000"/>
          <w:sz w:val="28"/>
          <w:szCs w:val="28"/>
        </w:rPr>
        <w:t>名已</w:t>
      </w:r>
      <w:r>
        <w:rPr>
          <w:rFonts w:hint="eastAsia" w:ascii="仿宋" w:hAnsi="仿宋" w:eastAsia="仿宋" w:cs="仿宋"/>
          <w:color w:val="000000"/>
          <w:sz w:val="28"/>
          <w:szCs w:val="28"/>
          <w:lang w:eastAsia="zh-CN"/>
        </w:rPr>
        <w:t>就业</w:t>
      </w:r>
      <w:r>
        <w:rPr>
          <w:rFonts w:hint="eastAsia" w:ascii="仿宋" w:hAnsi="仿宋" w:eastAsia="仿宋" w:cs="仿宋"/>
          <w:color w:val="000000"/>
          <w:sz w:val="28"/>
          <w:szCs w:val="28"/>
        </w:rPr>
        <w:t>毕业生（不含升学、出国）的</w:t>
      </w:r>
      <w:r>
        <w:rPr>
          <w:rFonts w:hint="eastAsia" w:ascii="仿宋" w:hAnsi="仿宋" w:eastAsia="仿宋" w:cs="仿宋"/>
          <w:color w:val="000000"/>
          <w:sz w:val="28"/>
          <w:szCs w:val="28"/>
          <w:lang w:eastAsia="zh-CN"/>
        </w:rPr>
        <w:t>工作</w:t>
      </w:r>
      <w:r>
        <w:rPr>
          <w:rFonts w:hint="eastAsia" w:ascii="仿宋" w:hAnsi="仿宋" w:eastAsia="仿宋" w:cs="仿宋"/>
          <w:color w:val="000000"/>
          <w:sz w:val="28"/>
          <w:szCs w:val="28"/>
        </w:rPr>
        <w:t>单位与专业相关度在网上进行了随机问卷调查。从统计的数据来看：</w:t>
      </w:r>
      <w:r>
        <w:rPr>
          <w:rFonts w:hint="eastAsia" w:ascii="仿宋" w:hAnsi="仿宋" w:eastAsia="仿宋" w:cs="仿宋"/>
          <w:color w:val="000000"/>
          <w:sz w:val="28"/>
          <w:szCs w:val="28"/>
          <w:lang w:val="en-US" w:eastAsia="zh-CN"/>
        </w:rPr>
        <w:t>126</w:t>
      </w:r>
      <w:r>
        <w:rPr>
          <w:rFonts w:hint="eastAsia" w:ascii="仿宋" w:hAnsi="仿宋" w:eastAsia="仿宋" w:cs="仿宋"/>
          <w:color w:val="000000"/>
          <w:sz w:val="28"/>
          <w:szCs w:val="28"/>
        </w:rPr>
        <w:t>名毕业生就业单位与专业非常相关，</w:t>
      </w:r>
      <w:r>
        <w:rPr>
          <w:rFonts w:hint="eastAsia" w:ascii="仿宋" w:hAnsi="仿宋" w:eastAsia="仿宋" w:cs="仿宋"/>
          <w:color w:val="000000"/>
          <w:sz w:val="28"/>
          <w:szCs w:val="28"/>
          <w:lang w:val="en-US" w:eastAsia="zh-CN"/>
        </w:rPr>
        <w:t>197</w:t>
      </w:r>
      <w:r>
        <w:rPr>
          <w:rFonts w:hint="eastAsia" w:ascii="仿宋" w:hAnsi="仿宋" w:eastAsia="仿宋" w:cs="仿宋"/>
          <w:color w:val="000000"/>
          <w:sz w:val="28"/>
          <w:szCs w:val="28"/>
        </w:rPr>
        <w:t>名毕业生就业单位与专业</w:t>
      </w:r>
      <w:r>
        <w:rPr>
          <w:rFonts w:hint="eastAsia" w:ascii="仿宋" w:hAnsi="仿宋" w:eastAsia="仿宋" w:cs="仿宋"/>
          <w:color w:val="000000"/>
          <w:sz w:val="28"/>
          <w:szCs w:val="28"/>
          <w:lang w:eastAsia="zh-CN"/>
        </w:rPr>
        <w:t>比较</w:t>
      </w:r>
      <w:r>
        <w:rPr>
          <w:rFonts w:hint="eastAsia" w:ascii="仿宋" w:hAnsi="仿宋" w:eastAsia="仿宋" w:cs="仿宋"/>
          <w:color w:val="000000"/>
          <w:sz w:val="28"/>
          <w:szCs w:val="28"/>
        </w:rPr>
        <w:t>相关，</w:t>
      </w:r>
      <w:r>
        <w:rPr>
          <w:rFonts w:hint="eastAsia" w:ascii="仿宋" w:hAnsi="仿宋" w:eastAsia="仿宋" w:cs="仿宋"/>
          <w:color w:val="000000"/>
          <w:sz w:val="28"/>
          <w:szCs w:val="28"/>
          <w:lang w:val="en-US" w:eastAsia="zh-CN"/>
        </w:rPr>
        <w:t>91</w:t>
      </w:r>
      <w:r>
        <w:rPr>
          <w:rFonts w:hint="eastAsia" w:ascii="仿宋" w:hAnsi="仿宋" w:eastAsia="仿宋" w:cs="仿宋"/>
          <w:color w:val="000000"/>
          <w:sz w:val="28"/>
          <w:szCs w:val="28"/>
        </w:rPr>
        <w:t>名毕业生</w:t>
      </w:r>
      <w:r>
        <w:rPr>
          <w:rFonts w:hint="eastAsia" w:ascii="仿宋" w:hAnsi="仿宋" w:eastAsia="仿宋" w:cs="仿宋"/>
          <w:color w:val="000000"/>
          <w:sz w:val="28"/>
          <w:szCs w:val="28"/>
          <w:lang w:eastAsia="zh-CN"/>
        </w:rPr>
        <w:t>表示一般</w:t>
      </w:r>
      <w:r>
        <w:rPr>
          <w:rFonts w:hint="eastAsia" w:ascii="仿宋" w:hAnsi="仿宋" w:eastAsia="仿宋" w:cs="仿宋"/>
          <w:color w:val="000000"/>
          <w:sz w:val="28"/>
          <w:szCs w:val="28"/>
        </w:rPr>
        <w:t>，相关度较小的</w:t>
      </w:r>
      <w:r>
        <w:rPr>
          <w:rFonts w:hint="eastAsia" w:ascii="仿宋" w:hAnsi="仿宋" w:eastAsia="仿宋" w:cs="仿宋"/>
          <w:color w:val="000000"/>
          <w:sz w:val="28"/>
          <w:szCs w:val="28"/>
          <w:lang w:val="en-US" w:eastAsia="zh-CN"/>
        </w:rPr>
        <w:t>121</w:t>
      </w:r>
      <w:r>
        <w:rPr>
          <w:rFonts w:hint="eastAsia" w:ascii="仿宋" w:hAnsi="仿宋" w:eastAsia="仿宋" w:cs="仿宋"/>
          <w:color w:val="000000"/>
          <w:sz w:val="28"/>
          <w:szCs w:val="28"/>
        </w:rPr>
        <w:t>人，很不相关的</w:t>
      </w:r>
      <w:r>
        <w:rPr>
          <w:rFonts w:hint="eastAsia" w:ascii="仿宋" w:hAnsi="仿宋" w:eastAsia="仿宋" w:cs="仿宋"/>
          <w:color w:val="000000"/>
          <w:sz w:val="28"/>
          <w:szCs w:val="28"/>
          <w:lang w:val="en-US" w:eastAsia="zh-CN"/>
        </w:rPr>
        <w:t>59</w:t>
      </w:r>
      <w:r>
        <w:rPr>
          <w:rFonts w:hint="eastAsia" w:ascii="仿宋" w:hAnsi="仿宋" w:eastAsia="仿宋" w:cs="仿宋"/>
          <w:color w:val="000000"/>
          <w:sz w:val="28"/>
          <w:szCs w:val="28"/>
        </w:rPr>
        <w:t>人，</w:t>
      </w:r>
      <w:bookmarkStart w:id="67" w:name="_Toc17522"/>
      <w:r>
        <w:rPr>
          <w:rFonts w:hint="eastAsia" w:ascii="仿宋" w:hAnsi="仿宋" w:eastAsia="仿宋" w:cs="仿宋"/>
          <w:color w:val="000000"/>
          <w:sz w:val="28"/>
          <w:szCs w:val="28"/>
        </w:rPr>
        <w:t>具体情况见图3-1。</w:t>
      </w:r>
    </w:p>
    <w:p>
      <w:pPr>
        <w:spacing w:line="480" w:lineRule="exact"/>
        <w:ind w:firstLine="301" w:firstLineChars="100"/>
        <w:jc w:val="left"/>
        <w:rPr>
          <w:rFonts w:hint="eastAsia" w:ascii="仿宋" w:hAnsi="仿宋" w:eastAsia="仿宋" w:cs="仿宋"/>
          <w:b/>
          <w:bCs/>
          <w:color w:val="000000"/>
          <w:sz w:val="30"/>
          <w:szCs w:val="30"/>
        </w:rPr>
      </w:pPr>
      <w:r>
        <w:rPr>
          <w:rFonts w:hint="eastAsia" w:ascii="仿宋" w:hAnsi="仿宋" w:eastAsia="仿宋" w:cs="仿宋"/>
          <w:b/>
          <w:bCs/>
          <w:color w:val="000000"/>
          <w:sz w:val="30"/>
          <w:szCs w:val="30"/>
        </w:rPr>
        <w:t>图3-1  20</w:t>
      </w:r>
      <w:r>
        <w:rPr>
          <w:rFonts w:hint="eastAsia" w:ascii="仿宋" w:hAnsi="仿宋" w:eastAsia="仿宋" w:cs="仿宋"/>
          <w:b/>
          <w:bCs/>
          <w:color w:val="000000"/>
          <w:sz w:val="30"/>
          <w:szCs w:val="30"/>
          <w:lang w:val="en-US" w:eastAsia="zh-CN"/>
        </w:rPr>
        <w:t>20</w:t>
      </w:r>
      <w:r>
        <w:rPr>
          <w:rFonts w:hint="eastAsia" w:ascii="仿宋" w:hAnsi="仿宋" w:eastAsia="仿宋" w:cs="仿宋"/>
          <w:b/>
          <w:bCs/>
          <w:color w:val="000000"/>
          <w:sz w:val="30"/>
          <w:szCs w:val="30"/>
        </w:rPr>
        <w:t>届毕业生从事工作与所学专业相关度</w:t>
      </w:r>
      <w:r>
        <w:rPr>
          <w:rFonts w:hint="eastAsia" w:ascii="仿宋" w:hAnsi="仿宋" w:eastAsia="仿宋" w:cs="仿宋"/>
          <w:b/>
          <w:bCs/>
          <w:color w:val="000000"/>
          <w:sz w:val="30"/>
          <w:szCs w:val="30"/>
          <w:lang w:eastAsia="zh-CN"/>
        </w:rPr>
        <w:t>分布</w:t>
      </w:r>
      <w:r>
        <w:rPr>
          <w:rFonts w:hint="eastAsia" w:ascii="仿宋" w:hAnsi="仿宋" w:eastAsia="仿宋" w:cs="仿宋"/>
          <w:b/>
          <w:bCs/>
          <w:color w:val="000000"/>
          <w:sz w:val="30"/>
          <w:szCs w:val="30"/>
        </w:rPr>
        <w:t>图</w:t>
      </w:r>
    </w:p>
    <w:p>
      <w:pPr>
        <w:pStyle w:val="2"/>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仿宋" w:hAnsi="仿宋" w:eastAsia="仿宋" w:cs="仿宋"/>
        </w:rPr>
      </w:pPr>
      <w:r>
        <w:rPr>
          <w:rFonts w:hint="eastAsia" w:ascii="仿宋" w:hAnsi="仿宋" w:eastAsia="仿宋" w:cs="仿宋"/>
        </w:rPr>
        <w:drawing>
          <wp:inline distT="0" distB="0" distL="114300" distR="114300">
            <wp:extent cx="5146675" cy="2692400"/>
            <wp:effectExtent l="0" t="0" r="15875" b="1270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8"/>
                    <a:stretch>
                      <a:fillRect/>
                    </a:stretch>
                  </pic:blipFill>
                  <pic:spPr>
                    <a:xfrm>
                      <a:off x="0" y="0"/>
                      <a:ext cx="5146675" cy="2692400"/>
                    </a:xfrm>
                    <a:prstGeom prst="rect">
                      <a:avLst/>
                    </a:prstGeom>
                    <a:noFill/>
                    <a:ln>
                      <a:noFill/>
                    </a:ln>
                  </pic:spPr>
                </pic:pic>
              </a:graphicData>
            </a:graphic>
          </wp:inline>
        </w:drawing>
      </w:r>
    </w:p>
    <w:p>
      <w:pPr>
        <w:pStyle w:val="5"/>
        <w:spacing w:before="0" w:after="0"/>
        <w:rPr>
          <w:rFonts w:hint="eastAsia" w:ascii="仿宋" w:hAnsi="仿宋" w:eastAsia="仿宋" w:cs="仿宋"/>
          <w:color w:val="1F497D"/>
          <w:sz w:val="30"/>
          <w:szCs w:val="30"/>
        </w:rPr>
      </w:pPr>
      <w:bookmarkStart w:id="68" w:name="_Toc10170"/>
      <w:r>
        <w:rPr>
          <w:rFonts w:hint="eastAsia" w:ascii="仿宋" w:hAnsi="仿宋" w:eastAsia="仿宋" w:cs="仿宋"/>
          <w:color w:val="1F497D"/>
          <w:sz w:val="30"/>
          <w:szCs w:val="30"/>
        </w:rPr>
        <w:t>3.1.2 毕业生对当前就业状况满意度的评价</w:t>
      </w:r>
      <w:bookmarkEnd w:id="68"/>
    </w:p>
    <w:p>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20</w:t>
      </w: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年，学校配合湖南省就业指导中心第三方评价机构，就毕业生对自己当前就业状况（含</w:t>
      </w:r>
      <w:r>
        <w:rPr>
          <w:rFonts w:hint="eastAsia" w:ascii="仿宋" w:hAnsi="仿宋" w:eastAsia="仿宋" w:cs="仿宋"/>
          <w:color w:val="000000"/>
          <w:sz w:val="28"/>
          <w:szCs w:val="28"/>
          <w:lang w:eastAsia="zh-CN"/>
        </w:rPr>
        <w:t>就业、</w:t>
      </w:r>
      <w:r>
        <w:rPr>
          <w:rFonts w:hint="eastAsia" w:ascii="仿宋" w:hAnsi="仿宋" w:eastAsia="仿宋" w:cs="仿宋"/>
          <w:color w:val="000000"/>
          <w:sz w:val="28"/>
          <w:szCs w:val="28"/>
        </w:rPr>
        <w:t>自主创业、继续深造等）的满意度进行随机问卷调查，收回有效问卷</w:t>
      </w:r>
      <w:r>
        <w:rPr>
          <w:rFonts w:hint="eastAsia" w:ascii="仿宋" w:hAnsi="仿宋" w:eastAsia="仿宋" w:cs="仿宋"/>
          <w:color w:val="000000"/>
          <w:sz w:val="28"/>
          <w:szCs w:val="28"/>
          <w:lang w:val="en-US" w:eastAsia="zh-CN"/>
        </w:rPr>
        <w:t>859</w:t>
      </w:r>
      <w:r>
        <w:rPr>
          <w:rFonts w:hint="eastAsia" w:ascii="仿宋" w:hAnsi="仿宋" w:eastAsia="仿宋" w:cs="仿宋"/>
          <w:color w:val="000000"/>
          <w:sz w:val="28"/>
          <w:szCs w:val="28"/>
        </w:rPr>
        <w:t>份，调查结果显示：</w:t>
      </w:r>
      <w:r>
        <w:rPr>
          <w:rFonts w:hint="eastAsia" w:ascii="仿宋" w:hAnsi="仿宋" w:eastAsia="仿宋" w:cs="仿宋"/>
          <w:color w:val="000000"/>
          <w:sz w:val="28"/>
          <w:szCs w:val="28"/>
          <w:lang w:val="en-US" w:eastAsia="zh-CN"/>
        </w:rPr>
        <w:t>41</w:t>
      </w:r>
      <w:r>
        <w:rPr>
          <w:rFonts w:hint="eastAsia" w:ascii="仿宋" w:hAnsi="仿宋" w:eastAsia="仿宋" w:cs="仿宋"/>
          <w:color w:val="000000"/>
          <w:sz w:val="28"/>
          <w:szCs w:val="28"/>
        </w:rPr>
        <w:t>名毕业生对自己当前就业状况表示非常满意，占调查总人数的</w:t>
      </w:r>
      <w:r>
        <w:rPr>
          <w:rFonts w:hint="eastAsia" w:ascii="仿宋" w:hAnsi="仿宋" w:eastAsia="仿宋" w:cs="仿宋"/>
          <w:color w:val="000000"/>
          <w:sz w:val="28"/>
          <w:szCs w:val="28"/>
          <w:lang w:val="en-US" w:eastAsia="zh-CN"/>
        </w:rPr>
        <w:t>4.77</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264</w:t>
      </w:r>
      <w:r>
        <w:rPr>
          <w:rFonts w:hint="eastAsia" w:ascii="仿宋" w:hAnsi="仿宋" w:eastAsia="仿宋" w:cs="仿宋"/>
          <w:color w:val="000000"/>
          <w:sz w:val="28"/>
          <w:szCs w:val="28"/>
        </w:rPr>
        <w:t>名毕业生对自己当前就业状况表示</w:t>
      </w:r>
      <w:r>
        <w:rPr>
          <w:rFonts w:hint="eastAsia" w:ascii="仿宋" w:hAnsi="仿宋" w:eastAsia="仿宋" w:cs="仿宋"/>
          <w:color w:val="000000"/>
          <w:sz w:val="28"/>
          <w:szCs w:val="28"/>
          <w:lang w:eastAsia="zh-CN"/>
        </w:rPr>
        <w:t>比较</w:t>
      </w:r>
      <w:r>
        <w:rPr>
          <w:rFonts w:hint="eastAsia" w:ascii="仿宋" w:hAnsi="仿宋" w:eastAsia="仿宋" w:cs="仿宋"/>
          <w:color w:val="000000"/>
          <w:sz w:val="28"/>
          <w:szCs w:val="28"/>
        </w:rPr>
        <w:t>满意，占调查总人数的</w:t>
      </w:r>
      <w:r>
        <w:rPr>
          <w:rFonts w:hint="eastAsia" w:ascii="仿宋" w:hAnsi="仿宋" w:eastAsia="仿宋" w:cs="仿宋"/>
          <w:color w:val="000000"/>
          <w:sz w:val="28"/>
          <w:szCs w:val="28"/>
          <w:lang w:val="en-US" w:eastAsia="zh-CN"/>
        </w:rPr>
        <w:t>31.00</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427</w:t>
      </w:r>
      <w:r>
        <w:rPr>
          <w:rFonts w:hint="eastAsia" w:ascii="仿宋" w:hAnsi="仿宋" w:eastAsia="仿宋" w:cs="仿宋"/>
          <w:color w:val="000000"/>
          <w:sz w:val="28"/>
          <w:szCs w:val="28"/>
        </w:rPr>
        <w:t>人表示比较</w:t>
      </w:r>
      <w:r>
        <w:rPr>
          <w:rFonts w:hint="eastAsia" w:ascii="仿宋" w:hAnsi="仿宋" w:eastAsia="仿宋" w:cs="仿宋"/>
          <w:color w:val="000000"/>
          <w:sz w:val="28"/>
          <w:szCs w:val="28"/>
          <w:lang w:eastAsia="zh-CN"/>
        </w:rPr>
        <w:t>一般</w:t>
      </w:r>
      <w:r>
        <w:rPr>
          <w:rFonts w:hint="eastAsia" w:ascii="仿宋" w:hAnsi="仿宋" w:eastAsia="仿宋" w:cs="仿宋"/>
          <w:color w:val="000000"/>
          <w:sz w:val="28"/>
          <w:szCs w:val="28"/>
        </w:rPr>
        <w:t>；占调查总人数的4</w:t>
      </w:r>
      <w:r>
        <w:rPr>
          <w:rFonts w:hint="eastAsia" w:ascii="仿宋" w:hAnsi="仿宋" w:eastAsia="仿宋" w:cs="仿宋"/>
          <w:color w:val="000000"/>
          <w:sz w:val="28"/>
          <w:szCs w:val="28"/>
          <w:lang w:val="en-US" w:eastAsia="zh-CN"/>
        </w:rPr>
        <w:t>9.70</w:t>
      </w:r>
      <w:r>
        <w:rPr>
          <w:rFonts w:hint="eastAsia" w:ascii="仿宋" w:hAnsi="仿宋" w:eastAsia="仿宋" w:cs="仿宋"/>
          <w:color w:val="000000"/>
          <w:sz w:val="28"/>
          <w:szCs w:val="28"/>
        </w:rPr>
        <w:t>%；具体情况见图3-2。</w:t>
      </w:r>
    </w:p>
    <w:p>
      <w:pPr>
        <w:pStyle w:val="2"/>
        <w:rPr>
          <w:rFonts w:hint="eastAsia" w:ascii="仿宋" w:hAnsi="仿宋" w:eastAsia="仿宋" w:cs="仿宋"/>
        </w:rPr>
      </w:pPr>
    </w:p>
    <w:p>
      <w:pPr>
        <w:jc w:val="center"/>
        <w:rPr>
          <w:rFonts w:hint="eastAsia" w:ascii="仿宋" w:hAnsi="仿宋" w:eastAsia="仿宋" w:cs="仿宋"/>
          <w:b/>
          <w:color w:val="000000"/>
          <w:sz w:val="30"/>
          <w:szCs w:val="30"/>
        </w:rPr>
      </w:pPr>
      <w:r>
        <w:rPr>
          <w:rFonts w:hint="eastAsia" w:ascii="仿宋" w:hAnsi="仿宋" w:eastAsia="仿宋" w:cs="仿宋"/>
          <w:b/>
          <w:color w:val="000000"/>
          <w:sz w:val="30"/>
          <w:szCs w:val="30"/>
        </w:rPr>
        <w:t>图3-2  毕业生对当前就业状况满意度</w:t>
      </w:r>
      <w:r>
        <w:rPr>
          <w:rFonts w:hint="eastAsia" w:ascii="仿宋" w:hAnsi="仿宋" w:eastAsia="仿宋" w:cs="仿宋"/>
          <w:b/>
          <w:color w:val="000000"/>
          <w:sz w:val="30"/>
          <w:szCs w:val="30"/>
          <w:lang w:eastAsia="zh-CN"/>
        </w:rPr>
        <w:t>分布</w:t>
      </w:r>
      <w:r>
        <w:rPr>
          <w:rFonts w:hint="eastAsia" w:ascii="仿宋" w:hAnsi="仿宋" w:eastAsia="仿宋" w:cs="仿宋"/>
          <w:b/>
          <w:color w:val="000000"/>
          <w:sz w:val="30"/>
          <w:szCs w:val="30"/>
        </w:rPr>
        <w:t>图</w:t>
      </w:r>
    </w:p>
    <w:p>
      <w:pPr>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（含</w:t>
      </w:r>
      <w:r>
        <w:rPr>
          <w:rFonts w:hint="eastAsia" w:ascii="仿宋" w:hAnsi="仿宋" w:eastAsia="仿宋" w:cs="仿宋"/>
          <w:b/>
          <w:color w:val="000000"/>
          <w:sz w:val="24"/>
          <w:szCs w:val="24"/>
          <w:lang w:eastAsia="zh-CN"/>
        </w:rPr>
        <w:t>就业、</w:t>
      </w:r>
      <w:r>
        <w:rPr>
          <w:rFonts w:hint="eastAsia" w:ascii="仿宋" w:hAnsi="仿宋" w:eastAsia="仿宋" w:cs="仿宋"/>
          <w:b/>
          <w:color w:val="000000"/>
          <w:sz w:val="24"/>
          <w:szCs w:val="24"/>
        </w:rPr>
        <w:t>自主创业</w:t>
      </w:r>
      <w:r>
        <w:rPr>
          <w:rFonts w:hint="eastAsia" w:ascii="仿宋" w:hAnsi="仿宋" w:eastAsia="仿宋" w:cs="仿宋"/>
          <w:b/>
          <w:color w:val="000000"/>
          <w:sz w:val="24"/>
          <w:szCs w:val="24"/>
          <w:lang w:eastAsia="zh-CN"/>
        </w:rPr>
        <w:t>和</w:t>
      </w:r>
      <w:r>
        <w:rPr>
          <w:rFonts w:hint="eastAsia" w:ascii="仿宋" w:hAnsi="仿宋" w:eastAsia="仿宋" w:cs="仿宋"/>
          <w:b/>
          <w:color w:val="000000"/>
          <w:sz w:val="24"/>
          <w:szCs w:val="24"/>
        </w:rPr>
        <w:t>继续深造等）</w:t>
      </w:r>
    </w:p>
    <w:p>
      <w:pPr>
        <w:pStyle w:val="2"/>
        <w:rPr>
          <w:rFonts w:hint="eastAsia" w:ascii="仿宋" w:hAnsi="仿宋" w:eastAsia="仿宋" w:cs="仿宋"/>
          <w:b/>
          <w:color w:val="000000"/>
          <w:sz w:val="24"/>
          <w:szCs w:val="24"/>
        </w:rPr>
      </w:pPr>
      <w:r>
        <w:rPr>
          <w:rFonts w:hint="eastAsia" w:ascii="仿宋" w:hAnsi="仿宋" w:eastAsia="仿宋" w:cs="仿宋"/>
        </w:rPr>
        <w:drawing>
          <wp:inline distT="0" distB="0" distL="114300" distR="114300">
            <wp:extent cx="4829175" cy="2501265"/>
            <wp:effectExtent l="0" t="0" r="9525" b="1333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9"/>
                    <a:stretch>
                      <a:fillRect/>
                    </a:stretch>
                  </pic:blipFill>
                  <pic:spPr>
                    <a:xfrm>
                      <a:off x="0" y="0"/>
                      <a:ext cx="4829175" cy="2501265"/>
                    </a:xfrm>
                    <a:prstGeom prst="rect">
                      <a:avLst/>
                    </a:prstGeom>
                    <a:noFill/>
                    <a:ln>
                      <a:noFill/>
                    </a:ln>
                  </pic:spPr>
                </pic:pic>
              </a:graphicData>
            </a:graphic>
          </wp:inline>
        </w:drawing>
      </w:r>
    </w:p>
    <w:bookmarkEnd w:id="67"/>
    <w:p>
      <w:pPr>
        <w:pStyle w:val="5"/>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仿宋" w:hAnsi="仿宋" w:eastAsia="仿宋" w:cs="仿宋"/>
          <w:color w:val="1F497D"/>
          <w:sz w:val="30"/>
          <w:szCs w:val="30"/>
          <w:lang w:eastAsia="zh-CN"/>
        </w:rPr>
      </w:pPr>
      <w:bookmarkStart w:id="69" w:name="_Toc25414"/>
      <w:bookmarkStart w:id="70" w:name="_Toc9942"/>
      <w:r>
        <w:rPr>
          <w:rFonts w:hint="eastAsia" w:ascii="仿宋" w:hAnsi="仿宋" w:eastAsia="仿宋" w:cs="仿宋"/>
          <w:color w:val="1F497D"/>
          <w:sz w:val="30"/>
          <w:szCs w:val="30"/>
          <w:lang w:val="en-US" w:eastAsia="zh-CN"/>
        </w:rPr>
        <w:t xml:space="preserve">3.1.3 </w:t>
      </w:r>
      <w:r>
        <w:rPr>
          <w:rFonts w:hint="eastAsia" w:ascii="仿宋" w:hAnsi="仿宋" w:eastAsia="仿宋" w:cs="仿宋"/>
          <w:color w:val="1F497D"/>
          <w:sz w:val="30"/>
          <w:szCs w:val="30"/>
        </w:rPr>
        <w:t>毕业生</w:t>
      </w:r>
      <w:r>
        <w:rPr>
          <w:rFonts w:hint="eastAsia" w:ascii="仿宋" w:hAnsi="仿宋" w:eastAsia="仿宋" w:cs="仿宋"/>
          <w:color w:val="1F497D"/>
          <w:sz w:val="30"/>
          <w:szCs w:val="30"/>
          <w:lang w:eastAsia="zh-CN"/>
        </w:rPr>
        <w:t>从事的工作与职业期望值匹配情况分析</w:t>
      </w:r>
      <w:bookmarkEnd w:id="69"/>
    </w:p>
    <w:p>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学校配合湖南省大中专毕业生就业指导中心第三方评价机构，以调研问卷的形式对我校20</w:t>
      </w: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届</w:t>
      </w:r>
      <w:r>
        <w:rPr>
          <w:rFonts w:hint="eastAsia" w:ascii="仿宋" w:hAnsi="仿宋" w:eastAsia="仿宋" w:cs="仿宋"/>
          <w:color w:val="000000"/>
          <w:sz w:val="28"/>
          <w:szCs w:val="28"/>
          <w:lang w:val="en-US" w:eastAsia="zh-CN"/>
        </w:rPr>
        <w:t>594</w:t>
      </w:r>
      <w:r>
        <w:rPr>
          <w:rFonts w:hint="eastAsia" w:ascii="仿宋" w:hAnsi="仿宋" w:eastAsia="仿宋" w:cs="仿宋"/>
          <w:color w:val="000000"/>
          <w:sz w:val="28"/>
          <w:szCs w:val="28"/>
        </w:rPr>
        <w:t>名已落实工作单位的毕业生</w:t>
      </w:r>
      <w:r>
        <w:rPr>
          <w:rFonts w:hint="eastAsia" w:ascii="仿宋" w:hAnsi="仿宋" w:eastAsia="仿宋" w:cs="仿宋"/>
          <w:color w:val="000000"/>
          <w:sz w:val="28"/>
          <w:szCs w:val="28"/>
          <w:lang w:eastAsia="zh-CN"/>
        </w:rPr>
        <w:t>从事的工作</w:t>
      </w:r>
      <w:r>
        <w:rPr>
          <w:rFonts w:hint="eastAsia" w:ascii="仿宋" w:hAnsi="仿宋" w:eastAsia="仿宋" w:cs="仿宋"/>
          <w:color w:val="000000"/>
          <w:sz w:val="28"/>
          <w:szCs w:val="28"/>
        </w:rPr>
        <w:t>与</w:t>
      </w:r>
      <w:r>
        <w:rPr>
          <w:rFonts w:hint="eastAsia" w:ascii="仿宋" w:hAnsi="仿宋" w:eastAsia="仿宋" w:cs="仿宋"/>
          <w:color w:val="000000"/>
          <w:sz w:val="28"/>
          <w:szCs w:val="28"/>
          <w:lang w:eastAsia="zh-CN"/>
        </w:rPr>
        <w:t>自己的职业期望值匹配情况，</w:t>
      </w:r>
      <w:r>
        <w:rPr>
          <w:rFonts w:hint="eastAsia" w:ascii="仿宋" w:hAnsi="仿宋" w:eastAsia="仿宋" w:cs="仿宋"/>
          <w:color w:val="000000"/>
          <w:sz w:val="28"/>
          <w:szCs w:val="28"/>
        </w:rPr>
        <w:t>在网上进行了随机问卷调查。从统计的数据来看：</w:t>
      </w:r>
      <w:r>
        <w:rPr>
          <w:rFonts w:hint="eastAsia" w:ascii="仿宋" w:hAnsi="仿宋" w:eastAsia="仿宋" w:cs="仿宋"/>
          <w:color w:val="000000"/>
          <w:sz w:val="28"/>
          <w:szCs w:val="28"/>
          <w:lang w:val="en-US" w:eastAsia="zh-CN"/>
        </w:rPr>
        <w:t>44</w:t>
      </w:r>
      <w:r>
        <w:rPr>
          <w:rFonts w:hint="eastAsia" w:ascii="仿宋" w:hAnsi="仿宋" w:eastAsia="仿宋" w:cs="仿宋"/>
          <w:color w:val="000000"/>
          <w:sz w:val="28"/>
          <w:szCs w:val="28"/>
        </w:rPr>
        <w:t>名</w:t>
      </w:r>
      <w:r>
        <w:rPr>
          <w:rFonts w:hint="eastAsia" w:ascii="仿宋" w:hAnsi="仿宋" w:eastAsia="仿宋" w:cs="仿宋"/>
          <w:color w:val="000000"/>
          <w:sz w:val="28"/>
          <w:szCs w:val="28"/>
          <w:lang w:eastAsia="zh-CN"/>
        </w:rPr>
        <w:t>毕业生表示自己从事的工作</w:t>
      </w:r>
      <w:r>
        <w:rPr>
          <w:rFonts w:hint="eastAsia" w:ascii="仿宋" w:hAnsi="仿宋" w:eastAsia="仿宋" w:cs="仿宋"/>
          <w:color w:val="000000"/>
          <w:sz w:val="28"/>
          <w:szCs w:val="28"/>
        </w:rPr>
        <w:t>与</w:t>
      </w:r>
      <w:r>
        <w:rPr>
          <w:rFonts w:hint="eastAsia" w:ascii="仿宋" w:hAnsi="仿宋" w:eastAsia="仿宋" w:cs="仿宋"/>
          <w:color w:val="000000"/>
          <w:sz w:val="28"/>
          <w:szCs w:val="28"/>
          <w:lang w:eastAsia="zh-CN"/>
        </w:rPr>
        <w:t>职业期望值</w:t>
      </w:r>
      <w:r>
        <w:rPr>
          <w:rFonts w:hint="eastAsia" w:ascii="仿宋" w:hAnsi="仿宋" w:eastAsia="仿宋" w:cs="仿宋"/>
          <w:color w:val="000000"/>
          <w:sz w:val="28"/>
          <w:szCs w:val="28"/>
        </w:rPr>
        <w:t>非常</w:t>
      </w:r>
      <w:r>
        <w:rPr>
          <w:rFonts w:hint="eastAsia" w:ascii="仿宋" w:hAnsi="仿宋" w:eastAsia="仿宋" w:cs="仿宋"/>
          <w:color w:val="000000"/>
          <w:sz w:val="28"/>
          <w:szCs w:val="28"/>
          <w:lang w:eastAsia="zh-CN"/>
        </w:rPr>
        <w:t>匹配</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236</w:t>
      </w:r>
      <w:r>
        <w:rPr>
          <w:rFonts w:hint="eastAsia" w:ascii="仿宋" w:hAnsi="仿宋" w:eastAsia="仿宋" w:cs="仿宋"/>
          <w:color w:val="000000"/>
          <w:sz w:val="28"/>
          <w:szCs w:val="28"/>
        </w:rPr>
        <w:t>名毕业生</w:t>
      </w:r>
      <w:r>
        <w:rPr>
          <w:rFonts w:hint="eastAsia" w:ascii="仿宋" w:hAnsi="仿宋" w:eastAsia="仿宋" w:cs="仿宋"/>
          <w:color w:val="000000"/>
          <w:sz w:val="28"/>
          <w:szCs w:val="28"/>
          <w:lang w:eastAsia="zh-CN"/>
        </w:rPr>
        <w:t>表示比较匹配</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237</w:t>
      </w:r>
      <w:r>
        <w:rPr>
          <w:rFonts w:hint="eastAsia" w:ascii="仿宋" w:hAnsi="仿宋" w:eastAsia="仿宋" w:cs="仿宋"/>
          <w:color w:val="000000"/>
          <w:sz w:val="28"/>
          <w:szCs w:val="28"/>
        </w:rPr>
        <w:t>名毕业生</w:t>
      </w:r>
      <w:r>
        <w:rPr>
          <w:rFonts w:hint="eastAsia" w:ascii="仿宋" w:hAnsi="仿宋" w:eastAsia="仿宋" w:cs="仿宋"/>
          <w:color w:val="000000"/>
          <w:sz w:val="28"/>
          <w:szCs w:val="28"/>
          <w:lang w:eastAsia="zh-CN"/>
        </w:rPr>
        <w:t>表示一般</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rPr>
        <w:t>不太匹配</w:t>
      </w:r>
      <w:r>
        <w:rPr>
          <w:rFonts w:hint="eastAsia" w:ascii="仿宋" w:hAnsi="仿宋" w:eastAsia="仿宋" w:cs="仿宋"/>
          <w:color w:val="000000"/>
          <w:sz w:val="28"/>
          <w:szCs w:val="28"/>
        </w:rPr>
        <w:t>的</w:t>
      </w:r>
      <w:r>
        <w:rPr>
          <w:rFonts w:hint="eastAsia" w:ascii="仿宋" w:hAnsi="仿宋" w:eastAsia="仿宋" w:cs="仿宋"/>
          <w:color w:val="000000"/>
          <w:sz w:val="28"/>
          <w:szCs w:val="28"/>
          <w:lang w:val="en-US" w:eastAsia="zh-CN"/>
        </w:rPr>
        <w:t>68</w:t>
      </w:r>
      <w:r>
        <w:rPr>
          <w:rFonts w:hint="eastAsia" w:ascii="仿宋" w:hAnsi="仿宋" w:eastAsia="仿宋" w:cs="仿宋"/>
          <w:color w:val="000000"/>
          <w:sz w:val="28"/>
          <w:szCs w:val="28"/>
        </w:rPr>
        <w:t>人，很不</w:t>
      </w:r>
      <w:r>
        <w:rPr>
          <w:rFonts w:hint="eastAsia" w:ascii="仿宋" w:hAnsi="仿宋" w:eastAsia="仿宋" w:cs="仿宋"/>
          <w:color w:val="000000"/>
          <w:sz w:val="28"/>
          <w:szCs w:val="28"/>
          <w:lang w:eastAsia="zh-CN"/>
        </w:rPr>
        <w:t>匹配</w:t>
      </w:r>
      <w:r>
        <w:rPr>
          <w:rFonts w:hint="eastAsia" w:ascii="仿宋" w:hAnsi="仿宋" w:eastAsia="仿宋" w:cs="仿宋"/>
          <w:color w:val="000000"/>
          <w:sz w:val="28"/>
          <w:szCs w:val="28"/>
        </w:rPr>
        <w:t>的</w:t>
      </w:r>
      <w:r>
        <w:rPr>
          <w:rFonts w:hint="eastAsia" w:ascii="仿宋" w:hAnsi="仿宋" w:eastAsia="仿宋" w:cs="仿宋"/>
          <w:color w:val="000000"/>
          <w:sz w:val="28"/>
          <w:szCs w:val="28"/>
          <w:lang w:val="en-US" w:eastAsia="zh-CN"/>
        </w:rPr>
        <w:t>9</w:t>
      </w:r>
      <w:r>
        <w:rPr>
          <w:rFonts w:hint="eastAsia" w:ascii="仿宋" w:hAnsi="仿宋" w:eastAsia="仿宋" w:cs="仿宋"/>
          <w:color w:val="000000"/>
          <w:sz w:val="28"/>
          <w:szCs w:val="28"/>
        </w:rPr>
        <w:t>人，具体情况见图3-</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w:t>
      </w:r>
    </w:p>
    <w:p>
      <w:pPr>
        <w:pStyle w:val="2"/>
        <w:ind w:firstLine="301" w:firstLineChars="100"/>
        <w:rPr>
          <w:rFonts w:hint="eastAsia" w:ascii="仿宋" w:hAnsi="仿宋" w:eastAsia="仿宋" w:cs="仿宋"/>
          <w:b/>
          <w:bCs/>
          <w:color w:val="000000"/>
          <w:sz w:val="28"/>
          <w:szCs w:val="28"/>
          <w:lang w:eastAsia="zh-CN"/>
        </w:rPr>
      </w:pPr>
      <w:r>
        <w:rPr>
          <w:rFonts w:hint="eastAsia" w:ascii="仿宋" w:hAnsi="仿宋" w:eastAsia="仿宋" w:cs="仿宋"/>
          <w:b/>
          <w:sz w:val="30"/>
          <w:szCs w:val="30"/>
        </w:rPr>
        <w:t>图3-3</w:t>
      </w:r>
      <w:r>
        <w:rPr>
          <w:rFonts w:hint="eastAsia" w:ascii="仿宋" w:hAnsi="仿宋" w:eastAsia="仿宋" w:cs="仿宋"/>
          <w:b/>
          <w:sz w:val="30"/>
          <w:szCs w:val="30"/>
          <w:lang w:val="en-US" w:eastAsia="zh-CN"/>
        </w:rPr>
        <w:t xml:space="preserve">  </w:t>
      </w:r>
      <w:r>
        <w:rPr>
          <w:rFonts w:hint="eastAsia" w:ascii="仿宋" w:hAnsi="仿宋" w:eastAsia="仿宋" w:cs="仿宋"/>
          <w:b/>
          <w:bCs/>
          <w:color w:val="000000"/>
          <w:sz w:val="28"/>
          <w:szCs w:val="28"/>
          <w:lang w:eastAsia="zh-CN"/>
        </w:rPr>
        <w:t>毕业生从事的工作与职业期望值匹配情况分布图</w:t>
      </w:r>
    </w:p>
    <w:p>
      <w:pPr>
        <w:pStyle w:val="2"/>
        <w:ind w:firstLine="210" w:firstLineChars="100"/>
        <w:rPr>
          <w:rFonts w:hint="eastAsia" w:ascii="仿宋" w:hAnsi="仿宋" w:eastAsia="仿宋" w:cs="仿宋"/>
          <w:b/>
          <w:bCs/>
          <w:color w:val="000000"/>
          <w:sz w:val="28"/>
          <w:szCs w:val="28"/>
          <w:lang w:eastAsia="zh-CN"/>
        </w:rPr>
      </w:pPr>
      <w:r>
        <w:rPr>
          <w:rFonts w:hint="eastAsia" w:ascii="仿宋" w:hAnsi="仿宋" w:eastAsia="仿宋" w:cs="仿宋"/>
        </w:rPr>
        <w:drawing>
          <wp:inline distT="0" distB="0" distL="114300" distR="114300">
            <wp:extent cx="4853305" cy="2167255"/>
            <wp:effectExtent l="0" t="0" r="4445" b="444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20"/>
                    <a:stretch>
                      <a:fillRect/>
                    </a:stretch>
                  </pic:blipFill>
                  <pic:spPr>
                    <a:xfrm>
                      <a:off x="0" y="0"/>
                      <a:ext cx="4853305" cy="2167255"/>
                    </a:xfrm>
                    <a:prstGeom prst="rect">
                      <a:avLst/>
                    </a:prstGeom>
                    <a:noFill/>
                    <a:ln>
                      <a:noFill/>
                    </a:ln>
                  </pic:spPr>
                </pic:pic>
              </a:graphicData>
            </a:graphic>
          </wp:inline>
        </w:drawing>
      </w:r>
    </w:p>
    <w:p>
      <w:pPr>
        <w:pStyle w:val="5"/>
        <w:spacing w:before="0" w:after="0"/>
        <w:rPr>
          <w:rFonts w:hint="eastAsia" w:ascii="仿宋" w:hAnsi="仿宋" w:eastAsia="仿宋" w:cs="仿宋"/>
          <w:color w:val="1F497D"/>
          <w:sz w:val="30"/>
          <w:szCs w:val="30"/>
          <w:lang w:eastAsia="zh-CN"/>
        </w:rPr>
      </w:pPr>
      <w:bookmarkStart w:id="71" w:name="_Toc1658"/>
      <w:r>
        <w:rPr>
          <w:rFonts w:hint="eastAsia" w:ascii="仿宋" w:hAnsi="仿宋" w:eastAsia="仿宋" w:cs="仿宋"/>
          <w:color w:val="1F497D"/>
          <w:sz w:val="30"/>
          <w:szCs w:val="30"/>
        </w:rPr>
        <w:t>3.1.</w:t>
      </w:r>
      <w:r>
        <w:rPr>
          <w:rFonts w:hint="eastAsia" w:ascii="仿宋" w:hAnsi="仿宋" w:eastAsia="仿宋" w:cs="仿宋"/>
          <w:color w:val="1F497D"/>
          <w:sz w:val="30"/>
          <w:szCs w:val="30"/>
          <w:lang w:val="en-US" w:eastAsia="zh-CN"/>
        </w:rPr>
        <w:t xml:space="preserve">4 </w:t>
      </w:r>
      <w:r>
        <w:rPr>
          <w:rFonts w:hint="eastAsia" w:ascii="仿宋" w:hAnsi="仿宋" w:eastAsia="仿宋" w:cs="仿宋"/>
          <w:color w:val="1F497D"/>
          <w:sz w:val="30"/>
          <w:szCs w:val="30"/>
        </w:rPr>
        <w:t>毕业生</w:t>
      </w:r>
      <w:bookmarkEnd w:id="70"/>
      <w:r>
        <w:rPr>
          <w:rFonts w:hint="eastAsia" w:ascii="仿宋" w:hAnsi="仿宋" w:eastAsia="仿宋" w:cs="仿宋"/>
          <w:color w:val="1F497D"/>
          <w:sz w:val="30"/>
          <w:szCs w:val="30"/>
        </w:rPr>
        <w:t>签约就业时，月薪</w:t>
      </w:r>
      <w:r>
        <w:rPr>
          <w:rFonts w:hint="eastAsia" w:ascii="仿宋" w:hAnsi="仿宋" w:eastAsia="仿宋" w:cs="仿宋"/>
          <w:color w:val="1F497D"/>
          <w:sz w:val="30"/>
          <w:szCs w:val="30"/>
          <w:lang w:eastAsia="zh-CN"/>
        </w:rPr>
        <w:t>情况分析</w:t>
      </w:r>
      <w:bookmarkEnd w:id="71"/>
    </w:p>
    <w:p>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学校配合湖南省大中专毕业生就业指导中心第三方评价机构，以调研问卷的形式对我校20</w:t>
      </w: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届</w:t>
      </w:r>
      <w:r>
        <w:rPr>
          <w:rFonts w:hint="eastAsia" w:ascii="仿宋" w:hAnsi="仿宋" w:eastAsia="仿宋" w:cs="仿宋"/>
          <w:color w:val="000000"/>
          <w:sz w:val="28"/>
          <w:szCs w:val="28"/>
          <w:lang w:val="en-US" w:eastAsia="zh-CN"/>
        </w:rPr>
        <w:t>588</w:t>
      </w:r>
      <w:r>
        <w:rPr>
          <w:rFonts w:hint="eastAsia" w:ascii="仿宋" w:hAnsi="仿宋" w:eastAsia="仿宋" w:cs="仿宋"/>
          <w:color w:val="000000"/>
          <w:sz w:val="28"/>
          <w:szCs w:val="28"/>
        </w:rPr>
        <w:t>名已落实工作单位的毕业生</w:t>
      </w:r>
      <w:r>
        <w:rPr>
          <w:rFonts w:hint="eastAsia" w:ascii="仿宋" w:hAnsi="仿宋" w:eastAsia="仿宋" w:cs="仿宋"/>
          <w:color w:val="000000"/>
          <w:sz w:val="28"/>
          <w:szCs w:val="28"/>
          <w:lang w:eastAsia="zh-CN"/>
        </w:rPr>
        <w:t>月薪情况，</w:t>
      </w:r>
      <w:r>
        <w:rPr>
          <w:rFonts w:hint="eastAsia" w:ascii="仿宋" w:hAnsi="仿宋" w:eastAsia="仿宋" w:cs="仿宋"/>
          <w:color w:val="000000"/>
          <w:sz w:val="28"/>
          <w:szCs w:val="28"/>
        </w:rPr>
        <w:t>在网上进行了随机问卷调查。从统计的数据来看：10001元</w:t>
      </w:r>
      <w:r>
        <w:rPr>
          <w:rFonts w:hint="eastAsia" w:ascii="仿宋" w:hAnsi="仿宋" w:eastAsia="仿宋" w:cs="仿宋"/>
          <w:color w:val="000000"/>
          <w:sz w:val="28"/>
          <w:szCs w:val="28"/>
          <w:lang w:val="en-US" w:eastAsia="zh-CN"/>
        </w:rPr>
        <w:t>/月</w:t>
      </w:r>
      <w:r>
        <w:rPr>
          <w:rFonts w:hint="eastAsia" w:ascii="仿宋" w:hAnsi="仿宋" w:eastAsia="仿宋" w:cs="仿宋"/>
          <w:color w:val="000000"/>
          <w:sz w:val="28"/>
          <w:szCs w:val="28"/>
        </w:rPr>
        <w:t>以上</w:t>
      </w:r>
      <w:r>
        <w:rPr>
          <w:rFonts w:hint="eastAsia" w:ascii="仿宋" w:hAnsi="仿宋" w:eastAsia="仿宋" w:cs="仿宋"/>
          <w:color w:val="000000"/>
          <w:sz w:val="28"/>
          <w:szCs w:val="28"/>
          <w:lang w:val="en-US" w:eastAsia="zh-CN"/>
        </w:rPr>
        <w:t>7人</w:t>
      </w:r>
      <w:r>
        <w:rPr>
          <w:rFonts w:hint="eastAsia" w:ascii="仿宋" w:hAnsi="仿宋" w:eastAsia="仿宋" w:cs="仿宋"/>
          <w:color w:val="000000"/>
          <w:sz w:val="28"/>
          <w:szCs w:val="28"/>
          <w:lang w:eastAsia="zh-CN"/>
        </w:rPr>
        <w:t>；7001-10000元</w:t>
      </w:r>
      <w:r>
        <w:rPr>
          <w:rFonts w:hint="eastAsia" w:ascii="仿宋" w:hAnsi="仿宋" w:eastAsia="仿宋" w:cs="仿宋"/>
          <w:color w:val="000000"/>
          <w:sz w:val="28"/>
          <w:szCs w:val="28"/>
          <w:lang w:val="en-US" w:eastAsia="zh-CN"/>
        </w:rPr>
        <w:t>/月27人</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lang w:eastAsia="zh-CN"/>
        </w:rPr>
        <w:t>001-</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lang w:eastAsia="zh-CN"/>
        </w:rPr>
        <w:t>000元</w:t>
      </w:r>
      <w:r>
        <w:rPr>
          <w:rFonts w:hint="eastAsia" w:ascii="仿宋" w:hAnsi="仿宋" w:eastAsia="仿宋" w:cs="仿宋"/>
          <w:color w:val="000000"/>
          <w:sz w:val="28"/>
          <w:szCs w:val="28"/>
          <w:lang w:val="en-US" w:eastAsia="zh-CN"/>
        </w:rPr>
        <w:t>/月107人</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lang w:eastAsia="zh-CN"/>
        </w:rPr>
        <w:t>001-</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lang w:eastAsia="zh-CN"/>
        </w:rPr>
        <w:t>000元</w:t>
      </w:r>
      <w:r>
        <w:rPr>
          <w:rFonts w:hint="eastAsia" w:ascii="仿宋" w:hAnsi="仿宋" w:eastAsia="仿宋" w:cs="仿宋"/>
          <w:color w:val="000000"/>
          <w:sz w:val="28"/>
          <w:szCs w:val="28"/>
          <w:lang w:val="en-US" w:eastAsia="zh-CN"/>
        </w:rPr>
        <w:t>/月171人</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eastAsia="zh-CN"/>
        </w:rPr>
        <w:t>001-</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lang w:eastAsia="zh-CN"/>
        </w:rPr>
        <w:t>000元</w:t>
      </w:r>
      <w:r>
        <w:rPr>
          <w:rFonts w:hint="eastAsia" w:ascii="仿宋" w:hAnsi="仿宋" w:eastAsia="仿宋" w:cs="仿宋"/>
          <w:color w:val="000000"/>
          <w:sz w:val="28"/>
          <w:szCs w:val="28"/>
          <w:lang w:val="en-US" w:eastAsia="zh-CN"/>
        </w:rPr>
        <w:t>/月173人</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lang w:eastAsia="zh-CN"/>
        </w:rPr>
        <w:t>001-</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eastAsia="zh-CN"/>
        </w:rPr>
        <w:t>000元</w:t>
      </w:r>
      <w:r>
        <w:rPr>
          <w:rFonts w:hint="eastAsia" w:ascii="仿宋" w:hAnsi="仿宋" w:eastAsia="仿宋" w:cs="仿宋"/>
          <w:color w:val="000000"/>
          <w:sz w:val="28"/>
          <w:szCs w:val="28"/>
          <w:lang w:val="en-US" w:eastAsia="zh-CN"/>
        </w:rPr>
        <w:t>/月97人</w:t>
      </w:r>
      <w:r>
        <w:rPr>
          <w:rFonts w:hint="eastAsia" w:ascii="仿宋" w:hAnsi="仿宋" w:eastAsia="仿宋" w:cs="仿宋"/>
          <w:color w:val="000000"/>
          <w:sz w:val="28"/>
          <w:szCs w:val="28"/>
          <w:lang w:eastAsia="zh-CN"/>
        </w:rPr>
        <w:t>；2000元</w:t>
      </w:r>
      <w:r>
        <w:rPr>
          <w:rFonts w:hint="eastAsia" w:ascii="仿宋" w:hAnsi="仿宋" w:eastAsia="仿宋" w:cs="仿宋"/>
          <w:color w:val="000000"/>
          <w:sz w:val="28"/>
          <w:szCs w:val="28"/>
          <w:lang w:val="en-US" w:eastAsia="zh-CN"/>
        </w:rPr>
        <w:t>/月</w:t>
      </w:r>
      <w:r>
        <w:rPr>
          <w:rFonts w:hint="eastAsia" w:ascii="仿宋" w:hAnsi="仿宋" w:eastAsia="仿宋" w:cs="仿宋"/>
          <w:color w:val="000000"/>
          <w:sz w:val="28"/>
          <w:szCs w:val="28"/>
          <w:lang w:eastAsia="zh-CN"/>
        </w:rPr>
        <w:t>及以下的</w:t>
      </w:r>
      <w:r>
        <w:rPr>
          <w:rFonts w:hint="eastAsia" w:ascii="仿宋" w:hAnsi="仿宋" w:eastAsia="仿宋" w:cs="仿宋"/>
          <w:color w:val="000000"/>
          <w:sz w:val="28"/>
          <w:szCs w:val="28"/>
          <w:lang w:val="en-US" w:eastAsia="zh-CN"/>
        </w:rPr>
        <w:t>12人。</w:t>
      </w:r>
      <w:r>
        <w:rPr>
          <w:rFonts w:hint="eastAsia" w:ascii="仿宋" w:hAnsi="仿宋" w:eastAsia="仿宋" w:cs="仿宋"/>
          <w:color w:val="000000"/>
          <w:sz w:val="28"/>
          <w:szCs w:val="28"/>
        </w:rPr>
        <w:t>具体情况见图3-</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w:t>
      </w:r>
    </w:p>
    <w:p>
      <w:pPr>
        <w:pStyle w:val="2"/>
        <w:ind w:firstLine="1205" w:firstLineChars="400"/>
        <w:rPr>
          <w:rFonts w:hint="eastAsia" w:ascii="仿宋" w:hAnsi="仿宋" w:eastAsia="仿宋" w:cs="仿宋"/>
          <w:b/>
          <w:bCs/>
          <w:color w:val="000000"/>
          <w:sz w:val="28"/>
          <w:szCs w:val="28"/>
          <w:lang w:eastAsia="zh-CN"/>
        </w:rPr>
      </w:pPr>
      <w:r>
        <w:rPr>
          <w:rFonts w:hint="eastAsia" w:ascii="仿宋" w:hAnsi="仿宋" w:eastAsia="仿宋" w:cs="仿宋"/>
          <w:b/>
          <w:sz w:val="30"/>
          <w:szCs w:val="30"/>
        </w:rPr>
        <w:t>图3-</w:t>
      </w:r>
      <w:r>
        <w:rPr>
          <w:rFonts w:hint="eastAsia" w:ascii="仿宋" w:hAnsi="仿宋" w:eastAsia="仿宋" w:cs="仿宋"/>
          <w:b/>
          <w:sz w:val="30"/>
          <w:szCs w:val="30"/>
          <w:lang w:val="en-US" w:eastAsia="zh-CN"/>
        </w:rPr>
        <w:t xml:space="preserve">4  </w:t>
      </w:r>
      <w:r>
        <w:rPr>
          <w:rFonts w:hint="eastAsia" w:ascii="仿宋" w:hAnsi="仿宋" w:eastAsia="仿宋" w:cs="仿宋"/>
          <w:b/>
          <w:bCs/>
          <w:color w:val="000000"/>
          <w:sz w:val="28"/>
          <w:szCs w:val="28"/>
          <w:lang w:eastAsia="zh-CN"/>
        </w:rPr>
        <w:t>毕业生签约就业时，月薪情况分布图</w:t>
      </w:r>
    </w:p>
    <w:p>
      <w:pPr>
        <w:pStyle w:val="2"/>
        <w:rPr>
          <w:rFonts w:hint="eastAsia" w:ascii="仿宋" w:hAnsi="仿宋" w:eastAsia="仿宋" w:cs="仿宋"/>
          <w:color w:val="1F497D"/>
          <w:sz w:val="30"/>
          <w:szCs w:val="30"/>
        </w:rPr>
      </w:pPr>
      <w:r>
        <w:rPr>
          <w:rFonts w:hint="eastAsia" w:ascii="仿宋" w:hAnsi="仿宋" w:eastAsia="仿宋" w:cs="仿宋"/>
        </w:rPr>
        <w:drawing>
          <wp:inline distT="0" distB="0" distL="114300" distR="114300">
            <wp:extent cx="5043805" cy="2790190"/>
            <wp:effectExtent l="0" t="0" r="4445" b="1016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21"/>
                    <a:stretch>
                      <a:fillRect/>
                    </a:stretch>
                  </pic:blipFill>
                  <pic:spPr>
                    <a:xfrm>
                      <a:off x="0" y="0"/>
                      <a:ext cx="5043805" cy="2790190"/>
                    </a:xfrm>
                    <a:prstGeom prst="rect">
                      <a:avLst/>
                    </a:prstGeom>
                    <a:noFill/>
                    <a:ln>
                      <a:noFill/>
                    </a:ln>
                  </pic:spPr>
                </pic:pic>
              </a:graphicData>
            </a:graphic>
          </wp:inline>
        </w:drawing>
      </w:r>
    </w:p>
    <w:p>
      <w:pPr>
        <w:pStyle w:val="5"/>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仿宋" w:hAnsi="仿宋" w:eastAsia="仿宋" w:cs="仿宋"/>
          <w:color w:val="1F497D"/>
          <w:sz w:val="30"/>
          <w:szCs w:val="30"/>
        </w:rPr>
      </w:pPr>
      <w:bookmarkStart w:id="72" w:name="_Toc29310"/>
      <w:bookmarkStart w:id="73" w:name="_Toc778"/>
      <w:r>
        <w:rPr>
          <w:rFonts w:hint="eastAsia" w:ascii="仿宋" w:hAnsi="仿宋" w:eastAsia="仿宋" w:cs="仿宋"/>
          <w:color w:val="1F497D"/>
          <w:sz w:val="30"/>
          <w:szCs w:val="30"/>
        </w:rPr>
        <w:t>3.1.</w:t>
      </w:r>
      <w:r>
        <w:rPr>
          <w:rFonts w:hint="eastAsia" w:ascii="仿宋" w:hAnsi="仿宋" w:eastAsia="仿宋" w:cs="仿宋"/>
          <w:color w:val="1F497D"/>
          <w:sz w:val="30"/>
          <w:szCs w:val="30"/>
          <w:lang w:val="en-US" w:eastAsia="zh-CN"/>
        </w:rPr>
        <w:t>5</w:t>
      </w:r>
      <w:r>
        <w:rPr>
          <w:rFonts w:hint="eastAsia" w:ascii="仿宋" w:hAnsi="仿宋" w:eastAsia="仿宋" w:cs="仿宋"/>
          <w:color w:val="1F497D"/>
          <w:sz w:val="30"/>
          <w:szCs w:val="30"/>
        </w:rPr>
        <w:t xml:space="preserve"> 用人单位评价</w:t>
      </w:r>
      <w:bookmarkEnd w:id="72"/>
      <w:bookmarkEnd w:id="73"/>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color w:val="000000"/>
          <w:sz w:val="28"/>
          <w:szCs w:val="28"/>
        </w:rPr>
      </w:pPr>
      <w:bookmarkStart w:id="74" w:name="_Toc21742"/>
      <w:r>
        <w:rPr>
          <w:rFonts w:hint="eastAsia" w:ascii="仿宋" w:hAnsi="仿宋" w:eastAsia="仿宋" w:cs="仿宋"/>
          <w:sz w:val="28"/>
          <w:szCs w:val="28"/>
        </w:rPr>
        <w:t>20</w:t>
      </w:r>
      <w:r>
        <w:rPr>
          <w:rFonts w:hint="eastAsia" w:ascii="仿宋" w:hAnsi="仿宋" w:eastAsia="仿宋" w:cs="仿宋"/>
          <w:sz w:val="28"/>
          <w:szCs w:val="28"/>
          <w:lang w:val="en-US" w:eastAsia="zh-CN"/>
        </w:rPr>
        <w:t>20</w:t>
      </w:r>
      <w:r>
        <w:rPr>
          <w:rFonts w:hint="eastAsia" w:ascii="仿宋" w:hAnsi="仿宋" w:eastAsia="仿宋" w:cs="仿宋"/>
          <w:sz w:val="28"/>
          <w:szCs w:val="28"/>
        </w:rPr>
        <w:t>年</w:t>
      </w:r>
      <w:r>
        <w:rPr>
          <w:rFonts w:hint="eastAsia" w:ascii="仿宋" w:hAnsi="仿宋" w:eastAsia="仿宋" w:cs="仿宋"/>
          <w:color w:val="000000"/>
          <w:sz w:val="28"/>
          <w:szCs w:val="28"/>
        </w:rPr>
        <w:t>，学校和各二级学院通过问卷调查、电话回访、邮件、就业走访以及配合湖南省大中专毕业生就业指导中心</w:t>
      </w:r>
      <w:r>
        <w:rPr>
          <w:rFonts w:hint="eastAsia" w:ascii="仿宋" w:hAnsi="仿宋" w:eastAsia="仿宋" w:cs="仿宋"/>
          <w:color w:val="262626"/>
          <w:sz w:val="28"/>
          <w:szCs w:val="28"/>
          <w:shd w:val="clear" w:color="auto" w:fill="FFFFFF"/>
        </w:rPr>
        <w:t>第三方专业机构调查</w:t>
      </w:r>
      <w:r>
        <w:rPr>
          <w:rFonts w:hint="eastAsia" w:ascii="仿宋" w:hAnsi="仿宋" w:eastAsia="仿宋" w:cs="仿宋"/>
          <w:color w:val="000000"/>
          <w:sz w:val="28"/>
          <w:szCs w:val="28"/>
        </w:rPr>
        <w:t>等方式，</w:t>
      </w:r>
      <w:r>
        <w:rPr>
          <w:rFonts w:hint="eastAsia" w:ascii="仿宋" w:hAnsi="仿宋" w:eastAsia="仿宋" w:cs="仿宋"/>
          <w:sz w:val="28"/>
          <w:szCs w:val="28"/>
        </w:rPr>
        <w:t>对</w:t>
      </w:r>
      <w:r>
        <w:rPr>
          <w:rFonts w:hint="eastAsia" w:ascii="仿宋" w:hAnsi="仿宋" w:eastAsia="仿宋" w:cs="仿宋"/>
          <w:sz w:val="28"/>
          <w:szCs w:val="28"/>
          <w:lang w:eastAsia="zh-CN"/>
        </w:rPr>
        <w:t>近</w:t>
      </w:r>
      <w:r>
        <w:rPr>
          <w:rFonts w:hint="eastAsia" w:ascii="仿宋" w:hAnsi="仿宋" w:eastAsia="仿宋" w:cs="仿宋"/>
          <w:sz w:val="28"/>
          <w:szCs w:val="28"/>
          <w:lang w:val="en-US" w:eastAsia="zh-CN"/>
        </w:rPr>
        <w:t>200</w:t>
      </w:r>
      <w:r>
        <w:rPr>
          <w:rFonts w:hint="eastAsia" w:ascii="仿宋" w:hAnsi="仿宋" w:eastAsia="仿宋" w:cs="仿宋"/>
          <w:sz w:val="28"/>
          <w:szCs w:val="28"/>
        </w:rPr>
        <w:t>家用人单位进行了毕业生满意度随机问卷调查，共收回有效问卷1</w:t>
      </w:r>
      <w:r>
        <w:rPr>
          <w:rFonts w:hint="eastAsia" w:ascii="仿宋" w:hAnsi="仿宋" w:eastAsia="仿宋" w:cs="仿宋"/>
          <w:sz w:val="28"/>
          <w:szCs w:val="28"/>
          <w:lang w:val="en-US" w:eastAsia="zh-CN"/>
        </w:rPr>
        <w:t>7</w:t>
      </w:r>
      <w:r>
        <w:rPr>
          <w:rFonts w:hint="eastAsia" w:ascii="仿宋" w:hAnsi="仿宋" w:eastAsia="仿宋" w:cs="仿宋"/>
          <w:sz w:val="28"/>
          <w:szCs w:val="28"/>
        </w:rPr>
        <w:t>5份，调查结果显示：100%的用人单位对我校毕业生</w:t>
      </w:r>
      <w:r>
        <w:rPr>
          <w:rFonts w:hint="eastAsia" w:ascii="仿宋" w:hAnsi="仿宋" w:eastAsia="仿宋" w:cs="仿宋"/>
          <w:sz w:val="28"/>
          <w:szCs w:val="28"/>
          <w:lang w:eastAsia="zh-CN"/>
        </w:rPr>
        <w:t>的</w:t>
      </w:r>
      <w:r>
        <w:rPr>
          <w:rFonts w:hint="eastAsia" w:ascii="仿宋" w:hAnsi="仿宋" w:eastAsia="仿宋" w:cs="仿宋"/>
          <w:sz w:val="28"/>
          <w:szCs w:val="28"/>
        </w:rPr>
        <w:t>思想表现</w:t>
      </w:r>
      <w:r>
        <w:rPr>
          <w:rFonts w:hint="eastAsia" w:ascii="仿宋" w:hAnsi="仿宋" w:eastAsia="仿宋" w:cs="仿宋"/>
          <w:sz w:val="28"/>
          <w:szCs w:val="28"/>
          <w:lang w:eastAsia="zh-CN"/>
        </w:rPr>
        <w:t>、敬业精神</w:t>
      </w:r>
      <w:r>
        <w:rPr>
          <w:rFonts w:hint="eastAsia" w:ascii="仿宋" w:hAnsi="仿宋" w:eastAsia="仿宋" w:cs="仿宋"/>
          <w:sz w:val="28"/>
          <w:szCs w:val="28"/>
        </w:rPr>
        <w:t>和</w:t>
      </w:r>
      <w:r>
        <w:rPr>
          <w:rFonts w:hint="eastAsia" w:ascii="仿宋" w:hAnsi="仿宋" w:eastAsia="仿宋" w:cs="仿宋"/>
          <w:sz w:val="28"/>
          <w:szCs w:val="28"/>
          <w:lang w:eastAsia="zh-CN"/>
        </w:rPr>
        <w:t>学习</w:t>
      </w:r>
      <w:r>
        <w:rPr>
          <w:rFonts w:hint="eastAsia" w:ascii="仿宋" w:hAnsi="仿宋" w:eastAsia="仿宋" w:cs="仿宋"/>
          <w:sz w:val="28"/>
          <w:szCs w:val="28"/>
        </w:rPr>
        <w:t>能力</w:t>
      </w:r>
      <w:r>
        <w:rPr>
          <w:rFonts w:hint="eastAsia" w:ascii="仿宋" w:hAnsi="仿宋" w:eastAsia="仿宋" w:cs="仿宋"/>
          <w:sz w:val="28"/>
          <w:szCs w:val="28"/>
          <w:lang w:eastAsia="zh-CN"/>
        </w:rPr>
        <w:t>等方面</w:t>
      </w:r>
      <w:r>
        <w:rPr>
          <w:rFonts w:hint="eastAsia" w:ascii="仿宋" w:hAnsi="仿宋" w:eastAsia="仿宋" w:cs="仿宋"/>
          <w:sz w:val="28"/>
          <w:szCs w:val="28"/>
        </w:rPr>
        <w:t>表示非常满意和满意。98%以上的用人单位对我校毕业生在专业水平、基本技能、</w:t>
      </w:r>
      <w:r>
        <w:rPr>
          <w:rFonts w:hint="eastAsia" w:ascii="仿宋" w:hAnsi="仿宋" w:eastAsia="仿宋" w:cs="仿宋"/>
          <w:sz w:val="28"/>
          <w:szCs w:val="28"/>
          <w:lang w:eastAsia="zh-CN"/>
        </w:rPr>
        <w:t>工作</w:t>
      </w:r>
      <w:r>
        <w:rPr>
          <w:rFonts w:hint="eastAsia" w:ascii="仿宋" w:hAnsi="仿宋" w:eastAsia="仿宋" w:cs="仿宋"/>
          <w:sz w:val="28"/>
          <w:szCs w:val="28"/>
        </w:rPr>
        <w:t>能力、</w:t>
      </w:r>
      <w:r>
        <w:rPr>
          <w:rFonts w:hint="eastAsia" w:ascii="仿宋" w:hAnsi="仿宋" w:eastAsia="仿宋" w:cs="仿宋"/>
          <w:sz w:val="28"/>
          <w:szCs w:val="28"/>
          <w:lang w:eastAsia="zh-CN"/>
        </w:rPr>
        <w:t>适应能力、</w:t>
      </w:r>
      <w:r>
        <w:rPr>
          <w:rFonts w:hint="eastAsia" w:ascii="仿宋" w:hAnsi="仿宋" w:eastAsia="仿宋" w:cs="仿宋"/>
          <w:sz w:val="28"/>
          <w:szCs w:val="28"/>
        </w:rPr>
        <w:t>创新能力和组织协调能力等方面表示非常满意和满意。</w:t>
      </w:r>
      <w:r>
        <w:rPr>
          <w:rFonts w:hint="eastAsia" w:ascii="仿宋" w:hAnsi="仿宋" w:eastAsia="仿宋" w:cs="仿宋"/>
          <w:color w:val="000000"/>
          <w:sz w:val="28"/>
          <w:szCs w:val="28"/>
        </w:rPr>
        <w:t>同时，也说明了近几年我校对学生培养目标的确定是比较合理的，在</w:t>
      </w:r>
      <w:r>
        <w:rPr>
          <w:rFonts w:hint="eastAsia" w:ascii="仿宋" w:hAnsi="仿宋" w:eastAsia="仿宋" w:cs="仿宋"/>
          <w:color w:val="000000"/>
          <w:sz w:val="28"/>
          <w:szCs w:val="28"/>
          <w:lang w:eastAsia="zh-CN"/>
        </w:rPr>
        <w:t>学生</w:t>
      </w:r>
      <w:r>
        <w:rPr>
          <w:rFonts w:hint="eastAsia" w:ascii="仿宋" w:hAnsi="仿宋" w:eastAsia="仿宋" w:cs="仿宋"/>
          <w:color w:val="000000"/>
          <w:sz w:val="28"/>
          <w:szCs w:val="28"/>
        </w:rPr>
        <w:t>个人素质</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专业知识</w:t>
      </w:r>
      <w:r>
        <w:rPr>
          <w:rFonts w:hint="eastAsia" w:ascii="仿宋" w:hAnsi="仿宋" w:eastAsia="仿宋" w:cs="仿宋"/>
          <w:color w:val="000000"/>
          <w:sz w:val="28"/>
          <w:szCs w:val="28"/>
          <w:lang w:eastAsia="zh-CN"/>
        </w:rPr>
        <w:t>和</w:t>
      </w:r>
      <w:r>
        <w:rPr>
          <w:rFonts w:hint="eastAsia" w:ascii="仿宋" w:hAnsi="仿宋" w:eastAsia="仿宋" w:cs="仿宋"/>
          <w:color w:val="000000"/>
          <w:sz w:val="28"/>
          <w:szCs w:val="28"/>
        </w:rPr>
        <w:t>能力</w:t>
      </w:r>
      <w:r>
        <w:rPr>
          <w:rFonts w:hint="eastAsia" w:ascii="仿宋" w:hAnsi="仿宋" w:eastAsia="仿宋" w:cs="仿宋"/>
          <w:color w:val="000000"/>
          <w:sz w:val="28"/>
          <w:szCs w:val="28"/>
          <w:lang w:eastAsia="zh-CN"/>
        </w:rPr>
        <w:t>方面</w:t>
      </w:r>
      <w:r>
        <w:rPr>
          <w:rFonts w:hint="eastAsia" w:ascii="仿宋" w:hAnsi="仿宋" w:eastAsia="仿宋" w:cs="仿宋"/>
          <w:color w:val="000000"/>
          <w:sz w:val="28"/>
          <w:szCs w:val="28"/>
        </w:rPr>
        <w:t>的培养取得了一定的效果，具体情况见表3-2。</w:t>
      </w:r>
    </w:p>
    <w:p>
      <w:pPr>
        <w:ind w:right="560" w:firstLine="452" w:firstLineChars="150"/>
        <w:rPr>
          <w:rFonts w:hint="eastAsia" w:ascii="仿宋" w:hAnsi="仿宋" w:eastAsia="仿宋" w:cs="仿宋"/>
          <w:b/>
          <w:color w:val="000000"/>
          <w:sz w:val="30"/>
          <w:szCs w:val="30"/>
        </w:rPr>
      </w:pPr>
      <w:r>
        <w:rPr>
          <w:rFonts w:hint="eastAsia" w:ascii="仿宋" w:hAnsi="仿宋" w:eastAsia="仿宋" w:cs="仿宋"/>
          <w:b/>
          <w:sz w:val="30"/>
          <w:szCs w:val="30"/>
        </w:rPr>
        <w:t>表3-2  20</w:t>
      </w:r>
      <w:r>
        <w:rPr>
          <w:rFonts w:hint="eastAsia" w:ascii="仿宋" w:hAnsi="仿宋" w:eastAsia="仿宋" w:cs="仿宋"/>
          <w:b/>
          <w:sz w:val="30"/>
          <w:szCs w:val="30"/>
          <w:lang w:val="en-US" w:eastAsia="zh-CN"/>
        </w:rPr>
        <w:t>20</w:t>
      </w:r>
      <w:r>
        <w:rPr>
          <w:rFonts w:hint="eastAsia" w:ascii="仿宋" w:hAnsi="仿宋" w:eastAsia="仿宋" w:cs="仿宋"/>
          <w:b/>
          <w:sz w:val="30"/>
          <w:szCs w:val="30"/>
        </w:rPr>
        <w:t>年</w:t>
      </w:r>
      <w:r>
        <w:rPr>
          <w:rFonts w:hint="eastAsia" w:ascii="仿宋" w:hAnsi="仿宋" w:eastAsia="仿宋" w:cs="仿宋"/>
          <w:b/>
          <w:color w:val="000000"/>
          <w:sz w:val="30"/>
          <w:szCs w:val="30"/>
        </w:rPr>
        <w:t>用人单位对我校毕业生评价状况统计表</w:t>
      </w:r>
    </w:p>
    <w:tbl>
      <w:tblPr>
        <w:tblStyle w:val="121"/>
        <w:tblW w:w="8780" w:type="dxa"/>
        <w:tblInd w:w="0" w:type="dxa"/>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Layout w:type="fixed"/>
        <w:tblCellMar>
          <w:top w:w="0" w:type="dxa"/>
          <w:left w:w="108" w:type="dxa"/>
          <w:bottom w:w="0" w:type="dxa"/>
          <w:right w:w="108" w:type="dxa"/>
        </w:tblCellMar>
      </w:tblPr>
      <w:tblGrid>
        <w:gridCol w:w="1742"/>
        <w:gridCol w:w="978"/>
        <w:gridCol w:w="1579"/>
        <w:gridCol w:w="1159"/>
        <w:gridCol w:w="722"/>
        <w:gridCol w:w="917"/>
        <w:gridCol w:w="831"/>
        <w:gridCol w:w="852"/>
      </w:tblGrid>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910" w:hRule="atLeast"/>
        </w:trPr>
        <w:tc>
          <w:tcPr>
            <w:tcW w:w="1742" w:type="dxa"/>
            <w:vMerge w:val="restart"/>
            <w:shd w:val="clear" w:color="auto" w:fill="00B0F0"/>
            <w:noWrap w:val="0"/>
            <w:vAlign w:val="center"/>
          </w:tcPr>
          <w:p>
            <w:pPr>
              <w:jc w:val="center"/>
              <w:rPr>
                <w:rFonts w:hint="eastAsia" w:ascii="仿宋" w:hAnsi="仿宋" w:eastAsia="仿宋" w:cs="仿宋"/>
                <w:b w:val="0"/>
                <w:bCs/>
                <w:color w:val="000000"/>
                <w:sz w:val="28"/>
                <w:szCs w:val="28"/>
              </w:rPr>
            </w:pPr>
            <w:r>
              <w:rPr>
                <w:rFonts w:hint="eastAsia" w:ascii="仿宋" w:hAnsi="仿宋" w:eastAsia="仿宋" w:cs="仿宋"/>
                <w:b/>
                <w:bCs/>
                <w:color w:val="000000"/>
                <w:sz w:val="28"/>
                <w:szCs w:val="28"/>
              </w:rPr>
              <w:t>项目</w:t>
            </w:r>
          </w:p>
        </w:tc>
        <w:tc>
          <w:tcPr>
            <w:tcW w:w="978" w:type="dxa"/>
            <w:vMerge w:val="restart"/>
            <w:shd w:val="clear" w:color="auto" w:fill="00B0F0"/>
            <w:noWrap w:val="0"/>
            <w:vAlign w:val="center"/>
          </w:tcPr>
          <w:p>
            <w:pPr>
              <w:snapToGrid w:val="0"/>
              <w:jc w:val="center"/>
              <w:rPr>
                <w:rFonts w:hint="eastAsia" w:ascii="仿宋" w:hAnsi="仿宋" w:eastAsia="仿宋" w:cs="仿宋"/>
                <w:b w:val="0"/>
                <w:bCs/>
                <w:color w:val="000000"/>
                <w:spacing w:val="-16"/>
                <w:sz w:val="28"/>
                <w:szCs w:val="28"/>
              </w:rPr>
            </w:pPr>
            <w:r>
              <w:rPr>
                <w:rFonts w:hint="eastAsia" w:ascii="仿宋" w:hAnsi="仿宋" w:eastAsia="仿宋" w:cs="仿宋"/>
                <w:b/>
                <w:bCs/>
                <w:color w:val="000000"/>
                <w:spacing w:val="-16"/>
                <w:sz w:val="28"/>
                <w:szCs w:val="28"/>
              </w:rPr>
              <w:t>收回有效问卷数</w:t>
            </w:r>
          </w:p>
        </w:tc>
        <w:tc>
          <w:tcPr>
            <w:tcW w:w="6060" w:type="dxa"/>
            <w:gridSpan w:val="6"/>
            <w:shd w:val="clear" w:color="auto" w:fill="00B0F0"/>
            <w:noWrap w:val="0"/>
            <w:vAlign w:val="center"/>
          </w:tcPr>
          <w:p>
            <w:pPr>
              <w:snapToGrid w:val="0"/>
              <w:jc w:val="center"/>
              <w:rPr>
                <w:rFonts w:hint="eastAsia" w:ascii="仿宋" w:hAnsi="仿宋" w:eastAsia="仿宋" w:cs="仿宋"/>
                <w:b w:val="0"/>
                <w:bCs/>
                <w:color w:val="000000"/>
                <w:sz w:val="28"/>
                <w:szCs w:val="28"/>
              </w:rPr>
            </w:pPr>
            <w:r>
              <w:rPr>
                <w:rFonts w:hint="eastAsia" w:ascii="仿宋" w:hAnsi="仿宋" w:eastAsia="仿宋" w:cs="仿宋"/>
                <w:b/>
                <w:bCs/>
                <w:color w:val="000000"/>
                <w:sz w:val="28"/>
                <w:szCs w:val="28"/>
              </w:rPr>
              <w:t>用人单位反馈信息占有效问卷比例（%）</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1083" w:hRule="atLeast"/>
        </w:trPr>
        <w:tc>
          <w:tcPr>
            <w:tcW w:w="1742" w:type="dxa"/>
            <w:vMerge w:val="continue"/>
            <w:shd w:val="clear" w:color="auto" w:fill="00B0F0"/>
            <w:noWrap w:val="0"/>
            <w:vAlign w:val="center"/>
          </w:tcPr>
          <w:p>
            <w:pPr>
              <w:jc w:val="center"/>
              <w:rPr>
                <w:rFonts w:hint="eastAsia" w:ascii="仿宋" w:hAnsi="仿宋" w:eastAsia="仿宋" w:cs="仿宋"/>
                <w:b w:val="0"/>
                <w:bCs/>
                <w:color w:val="000000"/>
                <w:sz w:val="28"/>
                <w:szCs w:val="28"/>
              </w:rPr>
            </w:pPr>
          </w:p>
        </w:tc>
        <w:tc>
          <w:tcPr>
            <w:tcW w:w="978" w:type="dxa"/>
            <w:vMerge w:val="continue"/>
            <w:shd w:val="clear" w:color="auto" w:fill="00B0F0"/>
            <w:noWrap w:val="0"/>
            <w:vAlign w:val="center"/>
          </w:tcPr>
          <w:p>
            <w:pPr>
              <w:snapToGrid w:val="0"/>
              <w:jc w:val="center"/>
              <w:rPr>
                <w:rFonts w:hint="eastAsia" w:ascii="仿宋" w:hAnsi="仿宋" w:eastAsia="仿宋" w:cs="仿宋"/>
                <w:b/>
                <w:color w:val="000000"/>
                <w:sz w:val="28"/>
                <w:szCs w:val="28"/>
              </w:rPr>
            </w:pPr>
          </w:p>
        </w:tc>
        <w:tc>
          <w:tcPr>
            <w:tcW w:w="1579" w:type="dxa"/>
            <w:shd w:val="clear" w:color="auto" w:fill="00B0F0"/>
            <w:noWrap w:val="0"/>
            <w:vAlign w:val="center"/>
          </w:tcPr>
          <w:p>
            <w:pPr>
              <w:snapToGrid w:val="0"/>
              <w:jc w:val="center"/>
              <w:rPr>
                <w:rFonts w:hint="eastAsia" w:ascii="仿宋" w:hAnsi="仿宋" w:eastAsia="仿宋" w:cs="仿宋"/>
                <w:b/>
                <w:color w:val="000000"/>
                <w:sz w:val="28"/>
                <w:szCs w:val="28"/>
              </w:rPr>
            </w:pPr>
            <w:r>
              <w:rPr>
                <w:rFonts w:hint="eastAsia" w:ascii="仿宋" w:hAnsi="仿宋" w:eastAsia="仿宋" w:cs="仿宋"/>
                <w:b/>
                <w:color w:val="000000"/>
                <w:sz w:val="28"/>
                <w:szCs w:val="28"/>
              </w:rPr>
              <w:t>非常满意（含满意）</w:t>
            </w:r>
          </w:p>
        </w:tc>
        <w:tc>
          <w:tcPr>
            <w:tcW w:w="1159" w:type="dxa"/>
            <w:shd w:val="clear" w:color="auto" w:fill="00B0F0"/>
            <w:noWrap w:val="0"/>
            <w:vAlign w:val="center"/>
          </w:tcPr>
          <w:p>
            <w:pPr>
              <w:snapToGrid w:val="0"/>
              <w:jc w:val="center"/>
              <w:rPr>
                <w:rFonts w:hint="eastAsia" w:ascii="仿宋" w:hAnsi="仿宋" w:eastAsia="仿宋" w:cs="仿宋"/>
                <w:b/>
                <w:color w:val="000000"/>
                <w:sz w:val="28"/>
                <w:szCs w:val="28"/>
              </w:rPr>
            </w:pPr>
            <w:r>
              <w:rPr>
                <w:rFonts w:hint="eastAsia" w:ascii="仿宋" w:hAnsi="仿宋" w:eastAsia="仿宋" w:cs="仿宋"/>
                <w:b/>
                <w:color w:val="000000"/>
                <w:sz w:val="28"/>
                <w:szCs w:val="28"/>
              </w:rPr>
              <w:t>%</w:t>
            </w:r>
          </w:p>
        </w:tc>
        <w:tc>
          <w:tcPr>
            <w:tcW w:w="722" w:type="dxa"/>
            <w:shd w:val="clear" w:color="auto" w:fill="00B0F0"/>
            <w:noWrap w:val="0"/>
            <w:vAlign w:val="center"/>
          </w:tcPr>
          <w:p>
            <w:pPr>
              <w:snapToGrid w:val="0"/>
              <w:jc w:val="center"/>
              <w:rPr>
                <w:rFonts w:hint="eastAsia" w:ascii="仿宋" w:hAnsi="仿宋" w:eastAsia="仿宋" w:cs="仿宋"/>
                <w:b/>
                <w:color w:val="000000"/>
                <w:sz w:val="28"/>
                <w:szCs w:val="28"/>
              </w:rPr>
            </w:pPr>
            <w:r>
              <w:rPr>
                <w:rFonts w:hint="eastAsia" w:ascii="仿宋" w:hAnsi="仿宋" w:eastAsia="仿宋" w:cs="仿宋"/>
                <w:b/>
                <w:color w:val="000000"/>
                <w:sz w:val="28"/>
                <w:szCs w:val="28"/>
              </w:rPr>
              <w:t>一般</w:t>
            </w:r>
          </w:p>
        </w:tc>
        <w:tc>
          <w:tcPr>
            <w:tcW w:w="917" w:type="dxa"/>
            <w:shd w:val="clear" w:color="auto" w:fill="00B0F0"/>
            <w:noWrap w:val="0"/>
            <w:vAlign w:val="center"/>
          </w:tcPr>
          <w:p>
            <w:pPr>
              <w:snapToGrid w:val="0"/>
              <w:jc w:val="center"/>
              <w:rPr>
                <w:rFonts w:hint="eastAsia" w:ascii="仿宋" w:hAnsi="仿宋" w:eastAsia="仿宋" w:cs="仿宋"/>
                <w:b/>
                <w:color w:val="000000"/>
                <w:sz w:val="28"/>
                <w:szCs w:val="28"/>
              </w:rPr>
            </w:pPr>
            <w:r>
              <w:rPr>
                <w:rFonts w:hint="eastAsia" w:ascii="仿宋" w:hAnsi="仿宋" w:eastAsia="仿宋" w:cs="仿宋"/>
                <w:b/>
                <w:color w:val="000000"/>
                <w:sz w:val="28"/>
                <w:szCs w:val="28"/>
              </w:rPr>
              <w:t>%</w:t>
            </w:r>
          </w:p>
        </w:tc>
        <w:tc>
          <w:tcPr>
            <w:tcW w:w="831" w:type="dxa"/>
            <w:shd w:val="clear" w:color="auto" w:fill="00B0F0"/>
            <w:noWrap w:val="0"/>
            <w:vAlign w:val="center"/>
          </w:tcPr>
          <w:p>
            <w:pPr>
              <w:snapToGrid w:val="0"/>
              <w:jc w:val="center"/>
              <w:rPr>
                <w:rFonts w:hint="eastAsia" w:ascii="仿宋" w:hAnsi="仿宋" w:eastAsia="仿宋" w:cs="仿宋"/>
                <w:b/>
                <w:color w:val="000000"/>
                <w:sz w:val="28"/>
                <w:szCs w:val="28"/>
              </w:rPr>
            </w:pPr>
            <w:r>
              <w:rPr>
                <w:rFonts w:hint="eastAsia" w:ascii="仿宋" w:hAnsi="仿宋" w:eastAsia="仿宋" w:cs="仿宋"/>
                <w:b/>
                <w:color w:val="000000"/>
                <w:sz w:val="28"/>
                <w:szCs w:val="28"/>
              </w:rPr>
              <w:t>不满意</w:t>
            </w:r>
          </w:p>
        </w:tc>
        <w:tc>
          <w:tcPr>
            <w:tcW w:w="852" w:type="dxa"/>
            <w:shd w:val="clear" w:color="auto" w:fill="00B0F0"/>
            <w:noWrap w:val="0"/>
            <w:vAlign w:val="center"/>
          </w:tcPr>
          <w:p>
            <w:pPr>
              <w:jc w:val="center"/>
              <w:rPr>
                <w:rFonts w:hint="eastAsia" w:ascii="仿宋" w:hAnsi="仿宋" w:eastAsia="仿宋" w:cs="仿宋"/>
                <w:b/>
                <w:color w:val="000000"/>
                <w:sz w:val="28"/>
                <w:szCs w:val="28"/>
              </w:rPr>
            </w:pPr>
            <w:r>
              <w:rPr>
                <w:rFonts w:hint="eastAsia" w:ascii="仿宋" w:hAnsi="仿宋" w:eastAsia="仿宋" w:cs="仿宋"/>
                <w:b/>
                <w:color w:val="000000"/>
                <w:sz w:val="28"/>
                <w:szCs w:val="28"/>
              </w:rPr>
              <w:t>%</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705" w:hRule="atLeast"/>
        </w:trPr>
        <w:tc>
          <w:tcPr>
            <w:tcW w:w="1742" w:type="dxa"/>
            <w:shd w:val="clear" w:color="auto" w:fill="DFD8E8"/>
            <w:noWrap w:val="0"/>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思想表现</w:t>
            </w:r>
          </w:p>
        </w:tc>
        <w:tc>
          <w:tcPr>
            <w:tcW w:w="978"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rPr>
              <w:t>5</w:t>
            </w:r>
          </w:p>
        </w:tc>
        <w:tc>
          <w:tcPr>
            <w:tcW w:w="1579" w:type="dxa"/>
            <w:shd w:val="clear" w:color="auto" w:fill="DFD8E8"/>
            <w:noWrap w:val="0"/>
            <w:vAlign w:val="center"/>
          </w:tcPr>
          <w:p>
            <w:pPr>
              <w:jc w:val="center"/>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175</w:t>
            </w:r>
          </w:p>
        </w:tc>
        <w:tc>
          <w:tcPr>
            <w:tcW w:w="1159"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100.00</w:t>
            </w:r>
          </w:p>
        </w:tc>
        <w:tc>
          <w:tcPr>
            <w:tcW w:w="722"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w:t>
            </w:r>
          </w:p>
        </w:tc>
        <w:tc>
          <w:tcPr>
            <w:tcW w:w="917"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0.00</w:t>
            </w:r>
          </w:p>
        </w:tc>
        <w:tc>
          <w:tcPr>
            <w:tcW w:w="831"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w:t>
            </w:r>
          </w:p>
        </w:tc>
        <w:tc>
          <w:tcPr>
            <w:tcW w:w="852"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705" w:hRule="atLeast"/>
        </w:trPr>
        <w:tc>
          <w:tcPr>
            <w:tcW w:w="1742" w:type="dxa"/>
            <w:shd w:val="clear" w:color="auto" w:fill="DFD8E8"/>
            <w:noWrap w:val="0"/>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敬业精神</w:t>
            </w:r>
          </w:p>
        </w:tc>
        <w:tc>
          <w:tcPr>
            <w:tcW w:w="978"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rPr>
              <w:t>5</w:t>
            </w:r>
          </w:p>
        </w:tc>
        <w:tc>
          <w:tcPr>
            <w:tcW w:w="1579"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175</w:t>
            </w:r>
          </w:p>
        </w:tc>
        <w:tc>
          <w:tcPr>
            <w:tcW w:w="1159"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100.00</w:t>
            </w:r>
          </w:p>
        </w:tc>
        <w:tc>
          <w:tcPr>
            <w:tcW w:w="722"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0</w:t>
            </w:r>
          </w:p>
        </w:tc>
        <w:tc>
          <w:tcPr>
            <w:tcW w:w="917"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0.00</w:t>
            </w:r>
          </w:p>
        </w:tc>
        <w:tc>
          <w:tcPr>
            <w:tcW w:w="831"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0</w:t>
            </w:r>
          </w:p>
        </w:tc>
        <w:tc>
          <w:tcPr>
            <w:tcW w:w="852"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705" w:hRule="atLeast"/>
        </w:trPr>
        <w:tc>
          <w:tcPr>
            <w:tcW w:w="1742" w:type="dxa"/>
            <w:shd w:val="clear" w:color="auto" w:fill="DFD8E8"/>
            <w:noWrap w:val="0"/>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专业水平</w:t>
            </w:r>
          </w:p>
        </w:tc>
        <w:tc>
          <w:tcPr>
            <w:tcW w:w="978"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rPr>
              <w:t>5</w:t>
            </w:r>
          </w:p>
        </w:tc>
        <w:tc>
          <w:tcPr>
            <w:tcW w:w="1579" w:type="dxa"/>
            <w:shd w:val="clear" w:color="auto" w:fill="DFD8E8"/>
            <w:noWrap w:val="0"/>
            <w:vAlign w:val="center"/>
          </w:tcPr>
          <w:p>
            <w:pPr>
              <w:jc w:val="center"/>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174</w:t>
            </w:r>
          </w:p>
        </w:tc>
        <w:tc>
          <w:tcPr>
            <w:tcW w:w="1159" w:type="dxa"/>
            <w:shd w:val="clear" w:color="auto" w:fill="DFD8E8"/>
            <w:noWrap w:val="0"/>
            <w:vAlign w:val="center"/>
          </w:tcPr>
          <w:p>
            <w:pPr>
              <w:jc w:val="center"/>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99.43</w:t>
            </w:r>
          </w:p>
        </w:tc>
        <w:tc>
          <w:tcPr>
            <w:tcW w:w="722" w:type="dxa"/>
            <w:shd w:val="clear" w:color="auto" w:fill="DFD8E8"/>
            <w:noWrap w:val="0"/>
            <w:vAlign w:val="center"/>
          </w:tcPr>
          <w:p>
            <w:pPr>
              <w:jc w:val="center"/>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w:t>
            </w:r>
          </w:p>
        </w:tc>
        <w:tc>
          <w:tcPr>
            <w:tcW w:w="917" w:type="dxa"/>
            <w:shd w:val="clear" w:color="auto" w:fill="DFD8E8"/>
            <w:noWrap w:val="0"/>
            <w:vAlign w:val="center"/>
          </w:tcPr>
          <w:p>
            <w:pPr>
              <w:widowControl/>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0.57</w:t>
            </w:r>
          </w:p>
        </w:tc>
        <w:tc>
          <w:tcPr>
            <w:tcW w:w="831"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w:t>
            </w:r>
          </w:p>
        </w:tc>
        <w:tc>
          <w:tcPr>
            <w:tcW w:w="852"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705" w:hRule="atLeast"/>
        </w:trPr>
        <w:tc>
          <w:tcPr>
            <w:tcW w:w="1742" w:type="dxa"/>
            <w:shd w:val="clear" w:color="auto" w:fill="DFD8E8"/>
            <w:noWrap w:val="0"/>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基本技能</w:t>
            </w:r>
          </w:p>
        </w:tc>
        <w:tc>
          <w:tcPr>
            <w:tcW w:w="978"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rPr>
              <w:t>5</w:t>
            </w:r>
          </w:p>
        </w:tc>
        <w:tc>
          <w:tcPr>
            <w:tcW w:w="1579" w:type="dxa"/>
            <w:shd w:val="clear" w:color="auto" w:fill="DFD8E8"/>
            <w:noWrap w:val="0"/>
            <w:vAlign w:val="center"/>
          </w:tcPr>
          <w:p>
            <w:pPr>
              <w:jc w:val="center"/>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173</w:t>
            </w:r>
          </w:p>
        </w:tc>
        <w:tc>
          <w:tcPr>
            <w:tcW w:w="1159" w:type="dxa"/>
            <w:shd w:val="clear" w:color="auto" w:fill="DFD8E8"/>
            <w:noWrap w:val="0"/>
            <w:vAlign w:val="center"/>
          </w:tcPr>
          <w:p>
            <w:pPr>
              <w:jc w:val="center"/>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rPr>
              <w:t>98.8</w:t>
            </w:r>
            <w:r>
              <w:rPr>
                <w:rFonts w:hint="eastAsia" w:ascii="仿宋" w:hAnsi="仿宋" w:eastAsia="仿宋" w:cs="仿宋"/>
                <w:color w:val="000000"/>
                <w:sz w:val="28"/>
                <w:szCs w:val="28"/>
                <w:lang w:val="en-US" w:eastAsia="zh-CN"/>
              </w:rPr>
              <w:t>6</w:t>
            </w:r>
          </w:p>
        </w:tc>
        <w:tc>
          <w:tcPr>
            <w:tcW w:w="722" w:type="dxa"/>
            <w:shd w:val="clear" w:color="auto" w:fill="DFD8E8"/>
            <w:noWrap w:val="0"/>
            <w:vAlign w:val="center"/>
          </w:tcPr>
          <w:p>
            <w:pPr>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2</w:t>
            </w:r>
          </w:p>
        </w:tc>
        <w:tc>
          <w:tcPr>
            <w:tcW w:w="917" w:type="dxa"/>
            <w:shd w:val="clear" w:color="auto" w:fill="DFD8E8"/>
            <w:noWrap w:val="0"/>
            <w:vAlign w:val="center"/>
          </w:tcPr>
          <w:p>
            <w:pPr>
              <w:widowControl/>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rPr>
              <w:t>1.</w:t>
            </w:r>
            <w:r>
              <w:rPr>
                <w:rFonts w:hint="eastAsia" w:ascii="仿宋" w:hAnsi="仿宋" w:eastAsia="仿宋" w:cs="仿宋"/>
                <w:color w:val="000000"/>
                <w:kern w:val="0"/>
                <w:sz w:val="28"/>
                <w:szCs w:val="28"/>
                <w:lang w:val="en-US" w:eastAsia="zh-CN"/>
              </w:rPr>
              <w:t>14</w:t>
            </w:r>
          </w:p>
        </w:tc>
        <w:tc>
          <w:tcPr>
            <w:tcW w:w="831"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w:t>
            </w:r>
          </w:p>
        </w:tc>
        <w:tc>
          <w:tcPr>
            <w:tcW w:w="852"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705" w:hRule="atLeast"/>
        </w:trPr>
        <w:tc>
          <w:tcPr>
            <w:tcW w:w="1742" w:type="dxa"/>
            <w:shd w:val="clear" w:color="auto" w:fill="DFD8E8"/>
            <w:noWrap w:val="0"/>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工作能力</w:t>
            </w:r>
          </w:p>
        </w:tc>
        <w:tc>
          <w:tcPr>
            <w:tcW w:w="978"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rPr>
              <w:t>5</w:t>
            </w:r>
          </w:p>
        </w:tc>
        <w:tc>
          <w:tcPr>
            <w:tcW w:w="1579"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174</w:t>
            </w:r>
          </w:p>
        </w:tc>
        <w:tc>
          <w:tcPr>
            <w:tcW w:w="1159"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99.43</w:t>
            </w:r>
          </w:p>
        </w:tc>
        <w:tc>
          <w:tcPr>
            <w:tcW w:w="722"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1</w:t>
            </w:r>
          </w:p>
        </w:tc>
        <w:tc>
          <w:tcPr>
            <w:tcW w:w="917" w:type="dxa"/>
            <w:shd w:val="clear" w:color="auto" w:fill="DFD8E8"/>
            <w:noWrap w:val="0"/>
            <w:vAlign w:val="center"/>
          </w:tcPr>
          <w:p>
            <w:pPr>
              <w:widowControl/>
              <w:jc w:val="center"/>
              <w:rPr>
                <w:rFonts w:hint="eastAsia" w:ascii="仿宋" w:hAnsi="仿宋" w:eastAsia="仿宋" w:cs="仿宋"/>
                <w:color w:val="000000"/>
                <w:kern w:val="0"/>
                <w:sz w:val="28"/>
                <w:szCs w:val="28"/>
                <w:lang w:val="en-US" w:eastAsia="zh-CN" w:bidi="ar-SA"/>
              </w:rPr>
            </w:pPr>
            <w:r>
              <w:rPr>
                <w:rFonts w:hint="eastAsia" w:ascii="仿宋" w:hAnsi="仿宋" w:eastAsia="仿宋" w:cs="仿宋"/>
                <w:color w:val="000000"/>
                <w:kern w:val="0"/>
                <w:sz w:val="28"/>
                <w:szCs w:val="28"/>
                <w:lang w:val="en-US" w:eastAsia="zh-CN"/>
              </w:rPr>
              <w:t>0.57</w:t>
            </w:r>
          </w:p>
        </w:tc>
        <w:tc>
          <w:tcPr>
            <w:tcW w:w="831"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0</w:t>
            </w:r>
          </w:p>
        </w:tc>
        <w:tc>
          <w:tcPr>
            <w:tcW w:w="852"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705" w:hRule="atLeast"/>
        </w:trPr>
        <w:tc>
          <w:tcPr>
            <w:tcW w:w="1742" w:type="dxa"/>
            <w:shd w:val="clear" w:color="auto" w:fill="DFD8E8"/>
            <w:noWrap w:val="0"/>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学习能力</w:t>
            </w:r>
          </w:p>
        </w:tc>
        <w:tc>
          <w:tcPr>
            <w:tcW w:w="978"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rPr>
              <w:t>5</w:t>
            </w:r>
          </w:p>
        </w:tc>
        <w:tc>
          <w:tcPr>
            <w:tcW w:w="1579"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175</w:t>
            </w:r>
          </w:p>
        </w:tc>
        <w:tc>
          <w:tcPr>
            <w:tcW w:w="1159"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100.00</w:t>
            </w:r>
          </w:p>
        </w:tc>
        <w:tc>
          <w:tcPr>
            <w:tcW w:w="722"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0</w:t>
            </w:r>
          </w:p>
        </w:tc>
        <w:tc>
          <w:tcPr>
            <w:tcW w:w="917"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0.00</w:t>
            </w:r>
          </w:p>
        </w:tc>
        <w:tc>
          <w:tcPr>
            <w:tcW w:w="831"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0</w:t>
            </w:r>
          </w:p>
        </w:tc>
        <w:tc>
          <w:tcPr>
            <w:tcW w:w="852"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705" w:hRule="atLeast"/>
        </w:trPr>
        <w:tc>
          <w:tcPr>
            <w:tcW w:w="1742" w:type="dxa"/>
            <w:shd w:val="clear" w:color="auto" w:fill="DFD8E8"/>
            <w:noWrap w:val="0"/>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适应能力</w:t>
            </w:r>
          </w:p>
        </w:tc>
        <w:tc>
          <w:tcPr>
            <w:tcW w:w="978"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rPr>
              <w:t>5</w:t>
            </w:r>
          </w:p>
        </w:tc>
        <w:tc>
          <w:tcPr>
            <w:tcW w:w="1579"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173</w:t>
            </w:r>
          </w:p>
        </w:tc>
        <w:tc>
          <w:tcPr>
            <w:tcW w:w="1159"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98.8</w:t>
            </w:r>
            <w:r>
              <w:rPr>
                <w:rFonts w:hint="eastAsia" w:ascii="仿宋" w:hAnsi="仿宋" w:eastAsia="仿宋" w:cs="仿宋"/>
                <w:color w:val="000000"/>
                <w:sz w:val="28"/>
                <w:szCs w:val="28"/>
                <w:lang w:val="en-US" w:eastAsia="zh-CN"/>
              </w:rPr>
              <w:t>6</w:t>
            </w:r>
          </w:p>
        </w:tc>
        <w:tc>
          <w:tcPr>
            <w:tcW w:w="722" w:type="dxa"/>
            <w:shd w:val="clear" w:color="auto" w:fill="DFD8E8"/>
            <w:noWrap w:val="0"/>
            <w:vAlign w:val="center"/>
          </w:tcPr>
          <w:p>
            <w:pPr>
              <w:jc w:val="center"/>
              <w:rPr>
                <w:rFonts w:hint="eastAsia" w:ascii="仿宋" w:hAnsi="仿宋" w:eastAsia="仿宋" w:cs="仿宋"/>
                <w:color w:val="000000"/>
                <w:kern w:val="0"/>
                <w:sz w:val="28"/>
                <w:szCs w:val="28"/>
                <w:lang w:val="en-US" w:eastAsia="zh-CN" w:bidi="ar-SA"/>
              </w:rPr>
            </w:pPr>
            <w:r>
              <w:rPr>
                <w:rFonts w:hint="eastAsia" w:ascii="仿宋" w:hAnsi="仿宋" w:eastAsia="仿宋" w:cs="仿宋"/>
                <w:color w:val="000000"/>
                <w:kern w:val="0"/>
                <w:sz w:val="28"/>
                <w:szCs w:val="28"/>
                <w:lang w:val="en-US" w:eastAsia="zh-CN"/>
              </w:rPr>
              <w:t>2</w:t>
            </w:r>
          </w:p>
        </w:tc>
        <w:tc>
          <w:tcPr>
            <w:tcW w:w="917" w:type="dxa"/>
            <w:shd w:val="clear" w:color="auto" w:fill="DFD8E8"/>
            <w:noWrap w:val="0"/>
            <w:vAlign w:val="center"/>
          </w:tcPr>
          <w:p>
            <w:pPr>
              <w:widowControl/>
              <w:jc w:val="center"/>
              <w:rPr>
                <w:rFonts w:hint="eastAsia" w:ascii="仿宋" w:hAnsi="仿宋" w:eastAsia="仿宋" w:cs="仿宋"/>
                <w:color w:val="000000"/>
                <w:kern w:val="0"/>
                <w:sz w:val="28"/>
                <w:szCs w:val="28"/>
                <w:lang w:val="en-US" w:eastAsia="zh-CN" w:bidi="ar-SA"/>
              </w:rPr>
            </w:pPr>
            <w:r>
              <w:rPr>
                <w:rFonts w:hint="eastAsia" w:ascii="仿宋" w:hAnsi="仿宋" w:eastAsia="仿宋" w:cs="仿宋"/>
                <w:color w:val="000000"/>
                <w:kern w:val="0"/>
                <w:sz w:val="28"/>
                <w:szCs w:val="28"/>
              </w:rPr>
              <w:t>1.</w:t>
            </w:r>
            <w:r>
              <w:rPr>
                <w:rFonts w:hint="eastAsia" w:ascii="仿宋" w:hAnsi="仿宋" w:eastAsia="仿宋" w:cs="仿宋"/>
                <w:color w:val="000000"/>
                <w:kern w:val="0"/>
                <w:sz w:val="28"/>
                <w:szCs w:val="28"/>
                <w:lang w:val="en-US" w:eastAsia="zh-CN"/>
              </w:rPr>
              <w:t>14</w:t>
            </w:r>
          </w:p>
        </w:tc>
        <w:tc>
          <w:tcPr>
            <w:tcW w:w="831"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w:t>
            </w:r>
          </w:p>
        </w:tc>
        <w:tc>
          <w:tcPr>
            <w:tcW w:w="852"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705" w:hRule="atLeast"/>
        </w:trPr>
        <w:tc>
          <w:tcPr>
            <w:tcW w:w="1742" w:type="dxa"/>
            <w:shd w:val="clear" w:color="auto" w:fill="DFD8E8"/>
            <w:noWrap w:val="0"/>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创新能力</w:t>
            </w:r>
          </w:p>
        </w:tc>
        <w:tc>
          <w:tcPr>
            <w:tcW w:w="978"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rPr>
              <w:t>5</w:t>
            </w:r>
          </w:p>
        </w:tc>
        <w:tc>
          <w:tcPr>
            <w:tcW w:w="1579" w:type="dxa"/>
            <w:shd w:val="clear" w:color="auto" w:fill="DFD8E8"/>
            <w:noWrap w:val="0"/>
            <w:vAlign w:val="center"/>
          </w:tcPr>
          <w:p>
            <w:pPr>
              <w:jc w:val="center"/>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172</w:t>
            </w:r>
          </w:p>
        </w:tc>
        <w:tc>
          <w:tcPr>
            <w:tcW w:w="1159"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98.</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9</w:t>
            </w:r>
          </w:p>
        </w:tc>
        <w:tc>
          <w:tcPr>
            <w:tcW w:w="722" w:type="dxa"/>
            <w:shd w:val="clear" w:color="auto" w:fill="DFD8E8"/>
            <w:noWrap w:val="0"/>
            <w:vAlign w:val="center"/>
          </w:tcPr>
          <w:p>
            <w:pPr>
              <w:jc w:val="center"/>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3</w:t>
            </w:r>
          </w:p>
        </w:tc>
        <w:tc>
          <w:tcPr>
            <w:tcW w:w="917" w:type="dxa"/>
            <w:shd w:val="clear" w:color="auto" w:fill="DFD8E8"/>
            <w:noWrap w:val="0"/>
            <w:vAlign w:val="center"/>
          </w:tcPr>
          <w:p>
            <w:pPr>
              <w:widowControl/>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w:t>
            </w:r>
            <w:r>
              <w:rPr>
                <w:rFonts w:hint="eastAsia" w:ascii="仿宋" w:hAnsi="仿宋" w:eastAsia="仿宋" w:cs="仿宋"/>
                <w:color w:val="000000"/>
                <w:kern w:val="0"/>
                <w:sz w:val="28"/>
                <w:szCs w:val="28"/>
                <w:lang w:val="en-US" w:eastAsia="zh-CN"/>
              </w:rPr>
              <w:t>7</w:t>
            </w:r>
            <w:r>
              <w:rPr>
                <w:rFonts w:hint="eastAsia" w:ascii="仿宋" w:hAnsi="仿宋" w:eastAsia="仿宋" w:cs="仿宋"/>
                <w:color w:val="000000"/>
                <w:kern w:val="0"/>
                <w:sz w:val="28"/>
                <w:szCs w:val="28"/>
              </w:rPr>
              <w:t>1</w:t>
            </w:r>
          </w:p>
        </w:tc>
        <w:tc>
          <w:tcPr>
            <w:tcW w:w="831"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w:t>
            </w:r>
          </w:p>
        </w:tc>
        <w:tc>
          <w:tcPr>
            <w:tcW w:w="852"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727" w:hRule="atLeast"/>
        </w:trPr>
        <w:tc>
          <w:tcPr>
            <w:tcW w:w="1742" w:type="dxa"/>
            <w:shd w:val="clear" w:color="auto" w:fill="DFD8E8"/>
            <w:noWrap w:val="0"/>
            <w:vAlign w:val="center"/>
          </w:tcPr>
          <w:p>
            <w:pPr>
              <w:ind w:left="-105" w:leftChars="-50" w:right="-105" w:rightChars="-50"/>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组织协调能力</w:t>
            </w:r>
          </w:p>
        </w:tc>
        <w:tc>
          <w:tcPr>
            <w:tcW w:w="978"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rPr>
              <w:t>5</w:t>
            </w:r>
          </w:p>
        </w:tc>
        <w:tc>
          <w:tcPr>
            <w:tcW w:w="1579"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172</w:t>
            </w:r>
          </w:p>
        </w:tc>
        <w:tc>
          <w:tcPr>
            <w:tcW w:w="1159"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98.</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9</w:t>
            </w:r>
          </w:p>
        </w:tc>
        <w:tc>
          <w:tcPr>
            <w:tcW w:w="722" w:type="dxa"/>
            <w:shd w:val="clear" w:color="auto" w:fill="DFD8E8"/>
            <w:noWrap w:val="0"/>
            <w:vAlign w:val="center"/>
          </w:tcPr>
          <w:p>
            <w:pPr>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3</w:t>
            </w:r>
          </w:p>
        </w:tc>
        <w:tc>
          <w:tcPr>
            <w:tcW w:w="917" w:type="dxa"/>
            <w:shd w:val="clear" w:color="auto" w:fill="DFD8E8"/>
            <w:noWrap w:val="0"/>
            <w:vAlign w:val="center"/>
          </w:tcPr>
          <w:p>
            <w:pPr>
              <w:widowControl/>
              <w:jc w:val="center"/>
              <w:rPr>
                <w:rFonts w:hint="eastAsia" w:ascii="仿宋" w:hAnsi="仿宋" w:eastAsia="仿宋" w:cs="仿宋"/>
                <w:color w:val="000000"/>
                <w:kern w:val="0"/>
                <w:sz w:val="28"/>
                <w:szCs w:val="28"/>
                <w:lang w:val="en-US" w:eastAsia="zh-CN" w:bidi="ar-SA"/>
              </w:rPr>
            </w:pPr>
            <w:r>
              <w:rPr>
                <w:rFonts w:hint="eastAsia" w:ascii="仿宋" w:hAnsi="仿宋" w:eastAsia="仿宋" w:cs="仿宋"/>
                <w:color w:val="000000"/>
                <w:kern w:val="0"/>
                <w:sz w:val="28"/>
                <w:szCs w:val="28"/>
              </w:rPr>
              <w:t>1.</w:t>
            </w:r>
            <w:r>
              <w:rPr>
                <w:rFonts w:hint="eastAsia" w:ascii="仿宋" w:hAnsi="仿宋" w:eastAsia="仿宋" w:cs="仿宋"/>
                <w:color w:val="000000"/>
                <w:kern w:val="0"/>
                <w:sz w:val="28"/>
                <w:szCs w:val="28"/>
                <w:lang w:val="en-US" w:eastAsia="zh-CN"/>
              </w:rPr>
              <w:t>7</w:t>
            </w:r>
            <w:r>
              <w:rPr>
                <w:rFonts w:hint="eastAsia" w:ascii="仿宋" w:hAnsi="仿宋" w:eastAsia="仿宋" w:cs="仿宋"/>
                <w:color w:val="000000"/>
                <w:kern w:val="0"/>
                <w:sz w:val="28"/>
                <w:szCs w:val="28"/>
              </w:rPr>
              <w:t>1</w:t>
            </w:r>
          </w:p>
        </w:tc>
        <w:tc>
          <w:tcPr>
            <w:tcW w:w="831"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w:t>
            </w:r>
          </w:p>
        </w:tc>
        <w:tc>
          <w:tcPr>
            <w:tcW w:w="852" w:type="dxa"/>
            <w:shd w:val="clear" w:color="auto" w:fill="DFD8E8"/>
            <w:noWrap w:val="0"/>
            <w:vAlign w:val="center"/>
          </w:tcPr>
          <w:p>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0.00</w:t>
            </w:r>
          </w:p>
        </w:tc>
      </w:tr>
    </w:tbl>
    <w:p>
      <w:pPr>
        <w:pStyle w:val="64"/>
        <w:spacing w:line="560" w:lineRule="atLeast"/>
        <w:ind w:firstLine="640" w:firstLineChars="200"/>
        <w:rPr>
          <w:rFonts w:hint="eastAsia" w:ascii="仿宋" w:hAnsi="仿宋" w:eastAsia="仿宋" w:cs="仿宋"/>
          <w:sz w:val="32"/>
          <w:szCs w:val="32"/>
        </w:rPr>
      </w:pPr>
    </w:p>
    <w:p>
      <w:pPr>
        <w:rPr>
          <w:rFonts w:hint="eastAsia" w:ascii="仿宋" w:hAnsi="仿宋" w:eastAsia="仿宋" w:cs="仿宋"/>
          <w:color w:val="1F497D"/>
          <w:kern w:val="0"/>
          <w:sz w:val="32"/>
          <w:szCs w:val="32"/>
        </w:rPr>
      </w:pPr>
      <w:r>
        <w:rPr>
          <w:rFonts w:hint="eastAsia" w:ascii="仿宋" w:hAnsi="仿宋" w:eastAsia="仿宋" w:cs="仿宋"/>
          <w:color w:val="1F497D"/>
          <w:kern w:val="0"/>
          <w:sz w:val="32"/>
          <w:szCs w:val="32"/>
        </w:rPr>
        <w:br w:type="page"/>
      </w:r>
    </w:p>
    <w:p>
      <w:pPr>
        <w:pStyle w:val="3"/>
        <w:keepNext/>
        <w:keepLines/>
        <w:pageBreakBefore w:val="0"/>
        <w:widowControl w:val="0"/>
        <w:kinsoku/>
        <w:wordWrap/>
        <w:overflowPunct/>
        <w:topLinePunct w:val="0"/>
        <w:autoSpaceDE/>
        <w:autoSpaceDN/>
        <w:bidi w:val="0"/>
        <w:adjustRightInd/>
        <w:snapToGrid/>
        <w:spacing w:beforeLines="100" w:afterLines="100" w:line="240" w:lineRule="auto"/>
        <w:jc w:val="center"/>
        <w:textAlignment w:val="auto"/>
        <w:rPr>
          <w:rFonts w:hint="eastAsia" w:ascii="仿宋" w:hAnsi="仿宋" w:eastAsia="仿宋" w:cs="仿宋"/>
          <w:color w:val="1F497D"/>
          <w:kern w:val="0"/>
          <w:sz w:val="32"/>
          <w:szCs w:val="32"/>
        </w:rPr>
      </w:pPr>
      <w:bookmarkStart w:id="75" w:name="_Toc25536"/>
      <w:r>
        <w:rPr>
          <w:rFonts w:hint="eastAsia" w:ascii="仿宋" w:hAnsi="仿宋" w:eastAsia="仿宋" w:cs="仿宋"/>
          <w:color w:val="1F497D"/>
          <w:kern w:val="0"/>
          <w:sz w:val="32"/>
          <w:szCs w:val="32"/>
        </w:rPr>
        <w:t>第四部分  对教育教学的反馈</w:t>
      </w:r>
      <w:bookmarkEnd w:id="74"/>
      <w:bookmarkEnd w:id="75"/>
    </w:p>
    <w:p>
      <w:pPr>
        <w:ind w:firstLine="560" w:firstLineChars="200"/>
        <w:rPr>
          <w:rFonts w:hint="eastAsia" w:ascii="仿宋" w:hAnsi="仿宋" w:eastAsia="仿宋" w:cs="仿宋"/>
          <w:color w:val="000000"/>
          <w:sz w:val="28"/>
          <w:szCs w:val="28"/>
        </w:rPr>
      </w:pPr>
      <w:bookmarkStart w:id="76" w:name="_Toc27020"/>
      <w:bookmarkStart w:id="77" w:name="_Toc22821"/>
      <w:bookmarkStart w:id="78" w:name="_Toc30978"/>
      <w:bookmarkStart w:id="79" w:name="_Toc437501635"/>
      <w:r>
        <w:rPr>
          <w:rFonts w:hint="eastAsia" w:ascii="仿宋" w:hAnsi="仿宋" w:eastAsia="仿宋" w:cs="仿宋"/>
          <w:color w:val="000000"/>
          <w:sz w:val="28"/>
          <w:szCs w:val="28"/>
        </w:rPr>
        <w:t>学校逐步重视就业对招生、人才培养、学科建设的反馈作用，建立健全了就业反馈机制，加强了就业与校内各部门之间的数据互通、资源共享，为学校、二级学院决策提供宽广的数据支撑，使人才培养与社会需求衔接更加紧密。</w:t>
      </w:r>
      <w:bookmarkEnd w:id="76"/>
      <w:bookmarkEnd w:id="77"/>
      <w:bookmarkEnd w:id="78"/>
    </w:p>
    <w:bookmarkEnd w:id="79"/>
    <w:p>
      <w:pPr>
        <w:pStyle w:val="17"/>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240" w:lineRule="auto"/>
        <w:ind w:left="0" w:firstLine="0"/>
        <w:textAlignment w:val="auto"/>
        <w:outlineLvl w:val="1"/>
        <w:rPr>
          <w:rFonts w:hint="eastAsia" w:ascii="仿宋" w:hAnsi="仿宋" w:eastAsia="仿宋" w:cs="仿宋"/>
          <w:b/>
          <w:bCs/>
          <w:color w:val="1F497D"/>
          <w:kern w:val="2"/>
          <w:sz w:val="30"/>
          <w:szCs w:val="30"/>
          <w:lang w:val="en-US" w:eastAsia="zh-CN" w:bidi="ar-SA"/>
        </w:rPr>
      </w:pPr>
      <w:bookmarkStart w:id="80" w:name="_Toc25496"/>
      <w:bookmarkStart w:id="81" w:name="_Toc22431"/>
      <w:bookmarkStart w:id="82" w:name="_Toc437501636"/>
      <w:bookmarkStart w:id="83" w:name="_Toc437032053"/>
      <w:r>
        <w:rPr>
          <w:rFonts w:hint="eastAsia" w:ascii="仿宋" w:hAnsi="仿宋" w:eastAsia="仿宋" w:cs="仿宋"/>
          <w:b/>
          <w:bCs/>
          <w:color w:val="1F497D"/>
          <w:kern w:val="2"/>
          <w:sz w:val="30"/>
          <w:szCs w:val="30"/>
          <w:lang w:val="en-US" w:eastAsia="zh-CN" w:bidi="ar-SA"/>
        </w:rPr>
        <w:t>4.1 以就业为抓手，建立招生、专业设置与就业良性联动机制</w:t>
      </w:r>
      <w:bookmarkEnd w:id="80"/>
      <w:bookmarkEnd w:id="81"/>
    </w:p>
    <w:bookmarkEnd w:id="82"/>
    <w:bookmarkEnd w:id="83"/>
    <w:p>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学校每年召开招生听证会，将各专业就业率、就业质量和市场需求等数据作为每年调整招生专业及招生</w:t>
      </w:r>
      <w:r>
        <w:rPr>
          <w:rFonts w:hint="eastAsia" w:ascii="仿宋" w:hAnsi="仿宋" w:eastAsia="仿宋" w:cs="仿宋"/>
          <w:color w:val="000000"/>
          <w:sz w:val="28"/>
          <w:szCs w:val="28"/>
          <w:lang w:eastAsia="zh-CN"/>
        </w:rPr>
        <w:t>人数</w:t>
      </w:r>
      <w:r>
        <w:rPr>
          <w:rFonts w:hint="eastAsia" w:ascii="仿宋" w:hAnsi="仿宋" w:eastAsia="仿宋" w:cs="仿宋"/>
          <w:color w:val="000000"/>
          <w:sz w:val="28"/>
          <w:szCs w:val="28"/>
        </w:rPr>
        <w:t>的重要依据之一，建立和完善就业与招生计划的联动机制，建立健全激励和约束机制，根据就业情况及时对招生计划、专业设置等进行合理调整和改善，逐步形成了就业与招生、专业设置的良性互动。</w:t>
      </w:r>
      <w:bookmarkStart w:id="84" w:name="_Toc6508"/>
    </w:p>
    <w:p>
      <w:pPr>
        <w:pStyle w:val="17"/>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240" w:lineRule="auto"/>
        <w:ind w:left="0" w:firstLine="0"/>
        <w:textAlignment w:val="auto"/>
        <w:outlineLvl w:val="1"/>
        <w:rPr>
          <w:rFonts w:hint="eastAsia" w:ascii="仿宋" w:hAnsi="仿宋" w:eastAsia="仿宋" w:cs="仿宋"/>
          <w:b/>
          <w:bCs/>
          <w:color w:val="1F497D"/>
          <w:spacing w:val="-6"/>
          <w:kern w:val="2"/>
          <w:sz w:val="30"/>
          <w:szCs w:val="30"/>
          <w:lang w:val="en-US" w:eastAsia="zh-CN" w:bidi="ar-SA"/>
        </w:rPr>
      </w:pPr>
      <w:bookmarkStart w:id="85" w:name="_Toc20118"/>
      <w:r>
        <w:rPr>
          <w:rFonts w:hint="eastAsia" w:ascii="仿宋" w:hAnsi="仿宋" w:eastAsia="仿宋" w:cs="仿宋"/>
          <w:b/>
          <w:bCs/>
          <w:color w:val="1F497D"/>
          <w:kern w:val="2"/>
          <w:sz w:val="30"/>
          <w:szCs w:val="30"/>
          <w:lang w:val="en-US" w:eastAsia="zh-CN" w:bidi="ar-SA"/>
        </w:rPr>
        <w:t xml:space="preserve">4.2 </w:t>
      </w:r>
      <w:r>
        <w:rPr>
          <w:rFonts w:hint="eastAsia" w:ascii="仿宋" w:hAnsi="仿宋" w:eastAsia="仿宋" w:cs="仿宋"/>
          <w:b/>
          <w:bCs/>
          <w:color w:val="1F497D"/>
          <w:spacing w:val="-6"/>
          <w:kern w:val="2"/>
          <w:sz w:val="30"/>
          <w:szCs w:val="30"/>
          <w:lang w:val="en-US" w:eastAsia="zh-CN" w:bidi="ar-SA"/>
        </w:rPr>
        <w:t>以市场为导向，构建招生、人才培养与社会需求内在关联体系</w:t>
      </w:r>
      <w:bookmarkEnd w:id="84"/>
      <w:bookmarkEnd w:id="85"/>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毕业生调查是学校人才培养质量评价的一部分，学校持续开展就业情况分析研究、毕业生就业与培养质量以及校友等各类调研，引入毕业生就业和社会需求双向信息反馈机制，通过开展问卷调查和访谈调研，听取毕业生和用人单位对教育教学的反馈建议，了解学生对人才培养工作的评价，为学校改革和发展提供决策参考。每年基于统计数据撰写了《湖南财政经济学院毕业生就业质量报告》、《湖南财政经济学院毕业生就业与培养质量调查报告》，同时，建立由教务处、招生就业处、</w:t>
      </w:r>
      <w:r>
        <w:rPr>
          <w:rFonts w:hint="eastAsia" w:ascii="仿宋" w:hAnsi="仿宋" w:eastAsia="仿宋" w:cs="仿宋"/>
          <w:color w:val="000000"/>
          <w:sz w:val="28"/>
          <w:szCs w:val="28"/>
          <w:lang w:eastAsia="zh-CN"/>
        </w:rPr>
        <w:t>学生处和</w:t>
      </w:r>
      <w:r>
        <w:rPr>
          <w:rFonts w:hint="eastAsia" w:ascii="仿宋" w:hAnsi="仿宋" w:eastAsia="仿宋" w:cs="仿宋"/>
          <w:color w:val="000000"/>
          <w:sz w:val="28"/>
          <w:szCs w:val="28"/>
        </w:rPr>
        <w:t>各二级学院等</w:t>
      </w:r>
      <w:r>
        <w:rPr>
          <w:rFonts w:hint="eastAsia" w:ascii="仿宋" w:hAnsi="仿宋" w:eastAsia="仿宋" w:cs="仿宋"/>
          <w:color w:val="000000"/>
          <w:sz w:val="28"/>
          <w:szCs w:val="28"/>
          <w:lang w:eastAsia="zh-CN"/>
        </w:rPr>
        <w:t>部门</w:t>
      </w:r>
      <w:r>
        <w:rPr>
          <w:rFonts w:hint="eastAsia" w:ascii="仿宋" w:hAnsi="仿宋" w:eastAsia="仿宋" w:cs="仿宋"/>
          <w:color w:val="000000"/>
          <w:sz w:val="28"/>
          <w:szCs w:val="28"/>
        </w:rPr>
        <w:t>为主的领导小组，召开专题会议，分析学生就业和校友发展情况，将研究信息及时反馈到人才培养的各个环节，有效地总结人才成长规律，找准社会需求，推动学校教育教学改革。</w:t>
      </w:r>
    </w:p>
    <w:p>
      <w:pPr>
        <w:pStyle w:val="17"/>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240" w:lineRule="auto"/>
        <w:ind w:left="0" w:firstLine="0"/>
        <w:textAlignment w:val="auto"/>
        <w:outlineLvl w:val="1"/>
        <w:rPr>
          <w:rFonts w:hint="eastAsia" w:ascii="仿宋" w:hAnsi="仿宋" w:eastAsia="仿宋" w:cs="仿宋"/>
          <w:b/>
          <w:bCs/>
          <w:color w:val="1F497D"/>
          <w:kern w:val="2"/>
          <w:sz w:val="30"/>
          <w:szCs w:val="30"/>
          <w:lang w:val="en-US" w:eastAsia="zh-CN" w:bidi="ar-SA"/>
        </w:rPr>
      </w:pPr>
      <w:bookmarkStart w:id="86" w:name="_Toc16524"/>
      <w:bookmarkStart w:id="87" w:name="_Toc7358"/>
      <w:r>
        <w:rPr>
          <w:rFonts w:hint="eastAsia" w:ascii="仿宋" w:hAnsi="仿宋" w:eastAsia="仿宋" w:cs="仿宋"/>
          <w:b/>
          <w:bCs/>
          <w:color w:val="1F497D"/>
          <w:kern w:val="2"/>
          <w:sz w:val="30"/>
          <w:szCs w:val="30"/>
          <w:lang w:val="en-US" w:eastAsia="zh-CN" w:bidi="ar-SA"/>
        </w:rPr>
        <w:t>4.3 用人单位对我校毕业生质量的评价</w:t>
      </w:r>
      <w:bookmarkEnd w:id="86"/>
      <w:bookmarkEnd w:id="87"/>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20</w:t>
      </w: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年，学校通过寄送调查问卷、电话回访、邮件、就业走访以及配合湖南省就业指导中心</w:t>
      </w:r>
      <w:r>
        <w:rPr>
          <w:rFonts w:hint="eastAsia" w:ascii="仿宋" w:hAnsi="仿宋" w:eastAsia="仿宋" w:cs="仿宋"/>
          <w:color w:val="262626"/>
          <w:sz w:val="28"/>
          <w:szCs w:val="28"/>
          <w:shd w:val="clear" w:color="auto" w:fill="FFFFFF"/>
        </w:rPr>
        <w:t>第三方专业机构</w:t>
      </w:r>
      <w:r>
        <w:rPr>
          <w:rFonts w:hint="eastAsia" w:ascii="仿宋" w:hAnsi="仿宋" w:eastAsia="仿宋" w:cs="仿宋"/>
          <w:color w:val="000000"/>
          <w:sz w:val="28"/>
          <w:szCs w:val="28"/>
        </w:rPr>
        <w:t>等方式，对用人单位进行了毕业生满意度随机问卷调查，收回有效问卷1</w:t>
      </w:r>
      <w:r>
        <w:rPr>
          <w:rFonts w:hint="eastAsia" w:ascii="仿宋" w:hAnsi="仿宋" w:eastAsia="仿宋" w:cs="仿宋"/>
          <w:color w:val="000000"/>
          <w:sz w:val="28"/>
          <w:szCs w:val="28"/>
          <w:lang w:val="en-US" w:eastAsia="zh-CN"/>
        </w:rPr>
        <w:t>75</w:t>
      </w:r>
      <w:r>
        <w:rPr>
          <w:rFonts w:hint="eastAsia" w:ascii="仿宋" w:hAnsi="仿宋" w:eastAsia="仿宋" w:cs="仿宋"/>
          <w:color w:val="000000"/>
          <w:sz w:val="28"/>
          <w:szCs w:val="28"/>
        </w:rPr>
        <w:t>份。用人单位普遍反映，我校毕业生在</w:t>
      </w:r>
      <w:r>
        <w:rPr>
          <w:rFonts w:hint="eastAsia" w:ascii="仿宋" w:hAnsi="仿宋" w:eastAsia="仿宋" w:cs="仿宋"/>
          <w:sz w:val="28"/>
          <w:szCs w:val="28"/>
        </w:rPr>
        <w:t>思想表现</w:t>
      </w:r>
      <w:r>
        <w:rPr>
          <w:rFonts w:hint="eastAsia" w:ascii="仿宋" w:hAnsi="仿宋" w:eastAsia="仿宋" w:cs="仿宋"/>
          <w:sz w:val="28"/>
          <w:szCs w:val="28"/>
          <w:lang w:eastAsia="zh-CN"/>
        </w:rPr>
        <w:t>、敬业精神</w:t>
      </w:r>
      <w:r>
        <w:rPr>
          <w:rFonts w:hint="eastAsia" w:ascii="仿宋" w:hAnsi="仿宋" w:eastAsia="仿宋" w:cs="仿宋"/>
          <w:sz w:val="28"/>
          <w:szCs w:val="28"/>
        </w:rPr>
        <w:t>和</w:t>
      </w:r>
      <w:r>
        <w:rPr>
          <w:rFonts w:hint="eastAsia" w:ascii="仿宋" w:hAnsi="仿宋" w:eastAsia="仿宋" w:cs="仿宋"/>
          <w:sz w:val="28"/>
          <w:szCs w:val="28"/>
          <w:lang w:eastAsia="zh-CN"/>
        </w:rPr>
        <w:t>学习</w:t>
      </w:r>
      <w:r>
        <w:rPr>
          <w:rFonts w:hint="eastAsia" w:ascii="仿宋" w:hAnsi="仿宋" w:eastAsia="仿宋" w:cs="仿宋"/>
          <w:sz w:val="28"/>
          <w:szCs w:val="28"/>
        </w:rPr>
        <w:t>能力</w:t>
      </w:r>
      <w:r>
        <w:rPr>
          <w:rFonts w:hint="eastAsia" w:ascii="仿宋" w:hAnsi="仿宋" w:eastAsia="仿宋" w:cs="仿宋"/>
          <w:color w:val="000000"/>
          <w:sz w:val="28"/>
          <w:szCs w:val="28"/>
        </w:rPr>
        <w:t>等方面表现优异，在理论水平、专业知识结构、技能掌握等专业素质方面基础扎实、运用灵活，在业务能力、创新能力、学习能力等综合素质上都显示出较高的水平。同时也说明了近几年我校对学生培养目标的确定是比较合理的，在教学与就业指导中对学生专业知识、创新能力和个人素质的培养也取得了一定的效果，具体情况见图4-1。</w:t>
      </w:r>
    </w:p>
    <w:p>
      <w:pPr>
        <w:jc w:val="center"/>
        <w:rPr>
          <w:rFonts w:hint="eastAsia" w:ascii="仿宋" w:hAnsi="仿宋" w:eastAsia="仿宋" w:cs="仿宋"/>
          <w:b/>
          <w:sz w:val="30"/>
          <w:szCs w:val="30"/>
        </w:rPr>
      </w:pPr>
      <w:r>
        <w:rPr>
          <w:rFonts w:hint="eastAsia" w:ascii="仿宋" w:hAnsi="仿宋" w:eastAsia="仿宋" w:cs="仿宋"/>
          <w:b/>
          <w:sz w:val="30"/>
          <w:szCs w:val="30"/>
        </w:rPr>
        <w:t>图4-1  用人单位对我校20</w:t>
      </w:r>
      <w:r>
        <w:rPr>
          <w:rFonts w:hint="eastAsia" w:ascii="仿宋" w:hAnsi="仿宋" w:eastAsia="仿宋" w:cs="仿宋"/>
          <w:b/>
          <w:sz w:val="30"/>
          <w:szCs w:val="30"/>
          <w:lang w:val="en-US" w:eastAsia="zh-CN"/>
        </w:rPr>
        <w:t>20</w:t>
      </w:r>
      <w:r>
        <w:rPr>
          <w:rFonts w:hint="eastAsia" w:ascii="仿宋" w:hAnsi="仿宋" w:eastAsia="仿宋" w:cs="仿宋"/>
          <w:b/>
          <w:sz w:val="30"/>
          <w:szCs w:val="30"/>
        </w:rPr>
        <w:t>届毕业生</w:t>
      </w:r>
      <w:r>
        <w:rPr>
          <w:rFonts w:hint="eastAsia" w:ascii="仿宋" w:hAnsi="仿宋" w:eastAsia="仿宋" w:cs="仿宋"/>
          <w:b/>
          <w:color w:val="000000"/>
          <w:sz w:val="30"/>
          <w:szCs w:val="30"/>
        </w:rPr>
        <w:t>质量</w:t>
      </w:r>
      <w:r>
        <w:rPr>
          <w:rFonts w:hint="eastAsia" w:ascii="仿宋" w:hAnsi="仿宋" w:eastAsia="仿宋" w:cs="仿宋"/>
          <w:b/>
          <w:sz w:val="30"/>
          <w:szCs w:val="30"/>
        </w:rPr>
        <w:t>评价图</w:t>
      </w:r>
    </w:p>
    <w:p>
      <w:pPr>
        <w:pStyle w:val="2"/>
        <w:rPr>
          <w:rFonts w:hint="eastAsia" w:ascii="仿宋" w:hAnsi="仿宋" w:eastAsia="仿宋" w:cs="仿宋"/>
        </w:rPr>
      </w:pPr>
      <w:r>
        <w:rPr>
          <w:rFonts w:hint="eastAsia" w:ascii="仿宋" w:hAnsi="仿宋" w:eastAsia="仿宋" w:cs="仿宋"/>
        </w:rPr>
        <w:drawing>
          <wp:inline distT="0" distB="0" distL="114300" distR="114300">
            <wp:extent cx="4944110" cy="2761615"/>
            <wp:effectExtent l="0" t="0" r="8890" b="63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22"/>
                    <a:stretch>
                      <a:fillRect/>
                    </a:stretch>
                  </pic:blipFill>
                  <pic:spPr>
                    <a:xfrm>
                      <a:off x="0" y="0"/>
                      <a:ext cx="4944110" cy="2761615"/>
                    </a:xfrm>
                    <a:prstGeom prst="rect">
                      <a:avLst/>
                    </a:prstGeom>
                    <a:noFill/>
                    <a:ln>
                      <a:noFill/>
                    </a:ln>
                  </pic:spPr>
                </pic:pic>
              </a:graphicData>
            </a:graphic>
          </wp:inline>
        </w:drawing>
      </w:r>
    </w:p>
    <w:p>
      <w:pPr>
        <w:rPr>
          <w:rFonts w:hint="eastAsia" w:ascii="仿宋" w:hAnsi="仿宋" w:eastAsia="仿宋" w:cs="仿宋"/>
        </w:rPr>
      </w:pPr>
    </w:p>
    <w:p>
      <w:pPr>
        <w:pStyle w:val="4"/>
        <w:spacing w:before="0" w:after="0"/>
        <w:rPr>
          <w:rFonts w:hint="eastAsia" w:ascii="仿宋" w:hAnsi="仿宋" w:eastAsia="仿宋" w:cs="仿宋"/>
          <w:color w:val="1F497D"/>
          <w:sz w:val="30"/>
          <w:szCs w:val="30"/>
        </w:rPr>
      </w:pPr>
      <w:bookmarkStart w:id="88" w:name="_Toc13635"/>
      <w:bookmarkStart w:id="89" w:name="_Toc22729"/>
      <w:r>
        <w:rPr>
          <w:rFonts w:hint="eastAsia" w:ascii="仿宋" w:hAnsi="仿宋" w:eastAsia="仿宋" w:cs="仿宋"/>
          <w:color w:val="1F497D"/>
          <w:sz w:val="30"/>
          <w:szCs w:val="30"/>
        </w:rPr>
        <w:t>4.4</w:t>
      </w:r>
      <w:r>
        <w:rPr>
          <w:rFonts w:hint="eastAsia" w:ascii="仿宋" w:hAnsi="仿宋" w:eastAsia="仿宋" w:cs="仿宋"/>
          <w:color w:val="1F497D"/>
          <w:sz w:val="30"/>
          <w:szCs w:val="30"/>
          <w:lang w:val="en-US" w:eastAsia="zh-CN"/>
        </w:rPr>
        <w:t xml:space="preserve"> </w:t>
      </w:r>
      <w:r>
        <w:rPr>
          <w:rFonts w:hint="eastAsia" w:ascii="仿宋" w:hAnsi="仿宋" w:eastAsia="仿宋" w:cs="仿宋"/>
          <w:color w:val="1F497D"/>
          <w:sz w:val="30"/>
          <w:szCs w:val="30"/>
        </w:rPr>
        <w:t>毕业生对学校人才培养满意度</w:t>
      </w:r>
      <w:bookmarkEnd w:id="88"/>
      <w:r>
        <w:rPr>
          <w:rFonts w:hint="eastAsia" w:ascii="仿宋" w:hAnsi="仿宋" w:eastAsia="仿宋" w:cs="仿宋"/>
          <w:color w:val="1F497D"/>
          <w:sz w:val="30"/>
          <w:szCs w:val="30"/>
        </w:rPr>
        <w:t>的评价</w:t>
      </w:r>
      <w:bookmarkEnd w:id="89"/>
    </w:p>
    <w:p>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仿宋" w:hAnsi="仿宋" w:eastAsia="仿宋" w:cs="仿宋"/>
          <w:b/>
          <w:sz w:val="28"/>
          <w:szCs w:val="28"/>
        </w:rPr>
      </w:pPr>
      <w:r>
        <w:rPr>
          <w:rFonts w:hint="eastAsia" w:ascii="仿宋" w:hAnsi="仿宋" w:eastAsia="仿宋" w:cs="仿宋"/>
          <w:color w:val="000000"/>
          <w:sz w:val="28"/>
          <w:szCs w:val="28"/>
        </w:rPr>
        <w:t>为深入了解我校人才培养情况，20</w:t>
      </w: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年，学校配合湖南省就业指导中心</w:t>
      </w:r>
      <w:r>
        <w:rPr>
          <w:rFonts w:hint="eastAsia" w:ascii="仿宋" w:hAnsi="仿宋" w:eastAsia="仿宋" w:cs="仿宋"/>
          <w:color w:val="262626"/>
          <w:sz w:val="28"/>
          <w:szCs w:val="28"/>
          <w:shd w:val="clear" w:color="auto" w:fill="FFFFFF"/>
        </w:rPr>
        <w:t>第三方专业机构</w:t>
      </w:r>
      <w:r>
        <w:rPr>
          <w:rFonts w:hint="eastAsia" w:ascii="仿宋" w:hAnsi="仿宋" w:eastAsia="仿宋" w:cs="仿宋"/>
          <w:color w:val="000000"/>
          <w:sz w:val="28"/>
          <w:szCs w:val="28"/>
        </w:rPr>
        <w:t>，以调研问卷的形式对毕业生所学的专业课程能否满足就业岗位的技能要求</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进行随机问卷调查。收回有效问卷</w:t>
      </w:r>
      <w:r>
        <w:rPr>
          <w:rFonts w:hint="eastAsia" w:ascii="仿宋" w:hAnsi="仿宋" w:eastAsia="仿宋" w:cs="仿宋"/>
          <w:color w:val="000000"/>
          <w:sz w:val="28"/>
          <w:szCs w:val="28"/>
          <w:lang w:val="en-US" w:eastAsia="zh-CN"/>
        </w:rPr>
        <w:t>593</w:t>
      </w:r>
      <w:r>
        <w:rPr>
          <w:rFonts w:hint="eastAsia" w:ascii="仿宋" w:hAnsi="仿宋" w:eastAsia="仿宋" w:cs="仿宋"/>
          <w:color w:val="000000"/>
          <w:sz w:val="28"/>
          <w:szCs w:val="28"/>
        </w:rPr>
        <w:t>份。</w:t>
      </w:r>
      <w:r>
        <w:rPr>
          <w:rFonts w:hint="eastAsia" w:ascii="仿宋" w:hAnsi="仿宋" w:eastAsia="仿宋" w:cs="仿宋"/>
          <w:color w:val="000000"/>
          <w:sz w:val="28"/>
          <w:szCs w:val="28"/>
          <w:lang w:eastAsia="zh-CN"/>
        </w:rPr>
        <w:t>调查结果显示：</w:t>
      </w:r>
      <w:r>
        <w:rPr>
          <w:rFonts w:hint="eastAsia" w:ascii="仿宋" w:hAnsi="仿宋" w:eastAsia="仿宋" w:cs="仿宋"/>
          <w:b w:val="0"/>
          <w:bCs w:val="0"/>
          <w:i w:val="0"/>
          <w:color w:val="auto"/>
          <w:kern w:val="0"/>
          <w:sz w:val="28"/>
          <w:szCs w:val="28"/>
          <w:u w:val="none"/>
          <w:lang w:val="en-US" w:eastAsia="zh-CN" w:bidi="ar"/>
        </w:rPr>
        <w:t>54.81%的毕业生对所学的专业课程能完全满足和大概满足就业岗位的技能要求。</w:t>
      </w:r>
      <w:r>
        <w:rPr>
          <w:rFonts w:hint="eastAsia" w:ascii="仿宋" w:hAnsi="仿宋" w:eastAsia="仿宋" w:cs="仿宋"/>
          <w:color w:val="000000"/>
          <w:sz w:val="28"/>
          <w:szCs w:val="28"/>
        </w:rPr>
        <w:t>具体情况见图4-2。</w:t>
      </w:r>
    </w:p>
    <w:p>
      <w:pPr>
        <w:jc w:val="center"/>
        <w:rPr>
          <w:rFonts w:hint="eastAsia" w:ascii="仿宋" w:hAnsi="仿宋" w:eastAsia="仿宋" w:cs="仿宋"/>
          <w:b/>
          <w:color w:val="000000"/>
          <w:sz w:val="30"/>
          <w:szCs w:val="30"/>
        </w:rPr>
      </w:pPr>
      <w:r>
        <w:rPr>
          <w:rFonts w:hint="eastAsia" w:ascii="仿宋" w:hAnsi="仿宋" w:eastAsia="仿宋" w:cs="仿宋"/>
          <w:b/>
          <w:color w:val="000000"/>
          <w:sz w:val="30"/>
          <w:szCs w:val="30"/>
        </w:rPr>
        <w:t>图4-2  20</w:t>
      </w:r>
      <w:r>
        <w:rPr>
          <w:rFonts w:hint="eastAsia" w:ascii="仿宋" w:hAnsi="仿宋" w:eastAsia="仿宋" w:cs="仿宋"/>
          <w:b/>
          <w:color w:val="000000"/>
          <w:sz w:val="30"/>
          <w:szCs w:val="30"/>
          <w:lang w:val="en-US" w:eastAsia="zh-CN"/>
        </w:rPr>
        <w:t>20</w:t>
      </w:r>
      <w:r>
        <w:rPr>
          <w:rFonts w:hint="eastAsia" w:ascii="仿宋" w:hAnsi="仿宋" w:eastAsia="仿宋" w:cs="仿宋"/>
          <w:b/>
          <w:color w:val="000000"/>
          <w:sz w:val="30"/>
          <w:szCs w:val="30"/>
        </w:rPr>
        <w:t>届毕业生对学校人才培养评价图</w:t>
      </w:r>
    </w:p>
    <w:p>
      <w:pPr>
        <w:pStyle w:val="2"/>
        <w:rPr>
          <w:rFonts w:hint="eastAsia" w:ascii="仿宋" w:hAnsi="仿宋" w:eastAsia="仿宋" w:cs="仿宋"/>
        </w:rPr>
      </w:pPr>
      <w:r>
        <w:rPr>
          <w:rFonts w:hint="eastAsia" w:ascii="仿宋" w:hAnsi="仿宋" w:eastAsia="仿宋" w:cs="仿宋"/>
        </w:rPr>
        <w:drawing>
          <wp:inline distT="0" distB="0" distL="114300" distR="114300">
            <wp:extent cx="4848860" cy="2761615"/>
            <wp:effectExtent l="0" t="0" r="8890" b="635"/>
            <wp:docPr id="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
                    <pic:cNvPicPr>
                      <a:picLocks noChangeAspect="1"/>
                    </pic:cNvPicPr>
                  </pic:nvPicPr>
                  <pic:blipFill>
                    <a:blip r:embed="rId23"/>
                    <a:stretch>
                      <a:fillRect/>
                    </a:stretch>
                  </pic:blipFill>
                  <pic:spPr>
                    <a:xfrm>
                      <a:off x="0" y="0"/>
                      <a:ext cx="4848860" cy="2761615"/>
                    </a:xfrm>
                    <a:prstGeom prst="rect">
                      <a:avLst/>
                    </a:prstGeom>
                    <a:noFill/>
                    <a:ln>
                      <a:noFill/>
                    </a:ln>
                  </pic:spPr>
                </pic:pic>
              </a:graphicData>
            </a:graphic>
          </wp:inline>
        </w:drawing>
      </w:r>
    </w:p>
    <w:p>
      <w:pPr>
        <w:rPr>
          <w:rFonts w:hint="eastAsia" w:ascii="仿宋" w:hAnsi="仿宋" w:eastAsia="仿宋" w:cs="仿宋"/>
        </w:rPr>
      </w:pPr>
      <w:r>
        <w:rPr>
          <w:rFonts w:hint="eastAsia" w:ascii="仿宋" w:hAnsi="仿宋" w:eastAsia="仿宋" w:cs="仿宋"/>
        </w:rPr>
        <w:br w:type="page"/>
      </w:r>
    </w:p>
    <w:p>
      <w:pPr>
        <w:pStyle w:val="3"/>
        <w:keepNext/>
        <w:keepLines/>
        <w:pageBreakBefore w:val="0"/>
        <w:widowControl w:val="0"/>
        <w:numPr>
          <w:ilvl w:val="0"/>
          <w:numId w:val="1"/>
        </w:numPr>
        <w:kinsoku/>
        <w:wordWrap/>
        <w:overflowPunct/>
        <w:topLinePunct w:val="0"/>
        <w:autoSpaceDE/>
        <w:autoSpaceDN/>
        <w:bidi w:val="0"/>
        <w:adjustRightInd/>
        <w:snapToGrid/>
        <w:spacing w:beforeLines="100" w:afterLines="100" w:line="240" w:lineRule="auto"/>
        <w:jc w:val="center"/>
        <w:textAlignment w:val="auto"/>
        <w:rPr>
          <w:rFonts w:hint="eastAsia" w:ascii="仿宋" w:hAnsi="仿宋" w:eastAsia="仿宋" w:cs="仿宋"/>
          <w:color w:val="1F497D"/>
          <w:kern w:val="0"/>
          <w:sz w:val="32"/>
          <w:szCs w:val="32"/>
        </w:rPr>
      </w:pPr>
      <w:bookmarkStart w:id="90" w:name="_Toc18888"/>
      <w:bookmarkStart w:id="91" w:name="_Toc30032"/>
      <w:r>
        <w:rPr>
          <w:rFonts w:hint="eastAsia" w:ascii="仿宋" w:hAnsi="仿宋" w:eastAsia="仿宋" w:cs="仿宋"/>
          <w:color w:val="1F497D"/>
          <w:kern w:val="0"/>
          <w:sz w:val="32"/>
          <w:szCs w:val="32"/>
          <w:lang w:val="en-US" w:eastAsia="zh-CN"/>
        </w:rPr>
        <w:t xml:space="preserve"> </w:t>
      </w:r>
      <w:r>
        <w:rPr>
          <w:rFonts w:hint="eastAsia" w:ascii="仿宋" w:hAnsi="仿宋" w:eastAsia="仿宋" w:cs="仿宋"/>
          <w:color w:val="1F497D"/>
          <w:kern w:val="0"/>
          <w:sz w:val="32"/>
          <w:szCs w:val="32"/>
        </w:rPr>
        <w:t>就业创业工作的主要措施及特点</w:t>
      </w:r>
      <w:bookmarkEnd w:id="90"/>
      <w:bookmarkEnd w:id="91"/>
    </w:p>
    <w:p>
      <w:pPr>
        <w:pStyle w:val="17"/>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240" w:lineRule="auto"/>
        <w:ind w:left="0" w:firstLine="0"/>
        <w:textAlignment w:val="auto"/>
        <w:outlineLvl w:val="1"/>
        <w:rPr>
          <w:rFonts w:hint="eastAsia" w:ascii="仿宋" w:hAnsi="仿宋" w:eastAsia="仿宋" w:cs="仿宋"/>
          <w:b/>
          <w:bCs/>
          <w:color w:val="1F497D"/>
          <w:kern w:val="2"/>
          <w:sz w:val="30"/>
          <w:szCs w:val="30"/>
          <w:lang w:val="en-US" w:eastAsia="zh-CN" w:bidi="ar-SA"/>
        </w:rPr>
      </w:pPr>
      <w:bookmarkStart w:id="92" w:name="_Toc8504"/>
      <w:r>
        <w:rPr>
          <w:rFonts w:hint="eastAsia" w:ascii="仿宋" w:hAnsi="仿宋" w:eastAsia="仿宋" w:cs="仿宋"/>
          <w:b/>
          <w:bCs/>
          <w:color w:val="1F497D"/>
          <w:kern w:val="2"/>
          <w:sz w:val="30"/>
          <w:szCs w:val="30"/>
          <w:lang w:val="en-US" w:eastAsia="zh-CN" w:bidi="ar-SA"/>
        </w:rPr>
        <w:t>5.1 领导重视，大力实施“一把手”工程</w:t>
      </w:r>
      <w:bookmarkEnd w:id="92"/>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outlineLvl w:val="1"/>
        <w:rPr>
          <w:rFonts w:hint="eastAsia" w:ascii="仿宋" w:hAnsi="仿宋" w:eastAsia="仿宋" w:cs="仿宋"/>
          <w:i w:val="0"/>
          <w:caps w:val="0"/>
          <w:color w:val="000000" w:themeColor="text1"/>
          <w:spacing w:val="0"/>
          <w:sz w:val="28"/>
          <w:szCs w:val="28"/>
          <w14:textFill>
            <w14:solidFill>
              <w14:schemeClr w14:val="tx1"/>
            </w14:solidFill>
          </w14:textFill>
        </w:rPr>
      </w:pPr>
      <w:bookmarkStart w:id="93" w:name="_Toc31611"/>
      <w:bookmarkStart w:id="94" w:name="_Toc32438"/>
      <w:r>
        <w:rPr>
          <w:rFonts w:hint="eastAsia" w:ascii="仿宋" w:hAnsi="仿宋" w:eastAsia="仿宋" w:cs="仿宋"/>
          <w:i w:val="0"/>
          <w:caps w:val="0"/>
          <w:color w:val="000000" w:themeColor="text1"/>
          <w:spacing w:val="0"/>
          <w:sz w:val="28"/>
          <w:szCs w:val="28"/>
          <w14:textFill>
            <w14:solidFill>
              <w14:schemeClr w14:val="tx1"/>
            </w14:solidFill>
          </w14:textFill>
        </w:rPr>
        <w:t>针对严峻的就业形势，学校领导高度重视20</w:t>
      </w:r>
      <w:r>
        <w:rPr>
          <w:rFonts w:hint="eastAsia" w:ascii="仿宋" w:hAnsi="仿宋" w:eastAsia="仿宋" w:cs="仿宋"/>
          <w:i w:val="0"/>
          <w:caps w:val="0"/>
          <w:color w:val="000000" w:themeColor="text1"/>
          <w:spacing w:val="0"/>
          <w:sz w:val="28"/>
          <w:szCs w:val="28"/>
          <w:lang w:val="en-US" w:eastAsia="zh-CN"/>
          <w14:textFill>
            <w14:solidFill>
              <w14:schemeClr w14:val="tx1"/>
            </w14:solidFill>
          </w14:textFill>
        </w:rPr>
        <w:t>20</w:t>
      </w:r>
      <w:r>
        <w:rPr>
          <w:rFonts w:hint="eastAsia" w:ascii="仿宋" w:hAnsi="仿宋" w:eastAsia="仿宋" w:cs="仿宋"/>
          <w:i w:val="0"/>
          <w:caps w:val="0"/>
          <w:color w:val="000000" w:themeColor="text1"/>
          <w:spacing w:val="0"/>
          <w:sz w:val="28"/>
          <w:szCs w:val="28"/>
          <w14:textFill>
            <w14:solidFill>
              <w14:schemeClr w14:val="tx1"/>
            </w14:solidFill>
          </w14:textFill>
        </w:rPr>
        <w:t>届毕业生就业工作。学校党委书记和校长对全校毕业生就业工作负总责，</w:t>
      </w:r>
      <w:r>
        <w:rPr>
          <w:rFonts w:hint="eastAsia" w:ascii="仿宋" w:hAnsi="仿宋" w:eastAsia="仿宋" w:cs="仿宋"/>
          <w:color w:val="000000" w:themeColor="text1"/>
          <w:kern w:val="0"/>
          <w:sz w:val="28"/>
          <w:szCs w:val="28"/>
          <w14:textFill>
            <w14:solidFill>
              <w14:schemeClr w14:val="tx1"/>
            </w14:solidFill>
          </w14:textFill>
        </w:rPr>
        <w:t>把就业创业工作列入重要议事议程，</w:t>
      </w:r>
      <w:r>
        <w:rPr>
          <w:rFonts w:hint="eastAsia" w:ascii="仿宋" w:hAnsi="仿宋" w:eastAsia="仿宋" w:cs="仿宋"/>
          <w:b w:val="0"/>
          <w:bCs w:val="0"/>
          <w:color w:val="000000" w:themeColor="text1"/>
          <w:sz w:val="28"/>
          <w:szCs w:val="28"/>
          <w:lang w:eastAsia="zh-CN"/>
          <w14:textFill>
            <w14:solidFill>
              <w14:schemeClr w14:val="tx1"/>
            </w14:solidFill>
          </w14:textFill>
        </w:rPr>
        <w:t>一</w:t>
      </w:r>
      <w:r>
        <w:rPr>
          <w:rFonts w:hint="eastAsia" w:ascii="仿宋" w:hAnsi="仿宋" w:eastAsia="仿宋" w:cs="仿宋"/>
          <w:b w:val="0"/>
          <w:bCs w:val="0"/>
          <w:color w:val="000000" w:themeColor="text1"/>
          <w:sz w:val="28"/>
          <w:szCs w:val="28"/>
          <w14:textFill>
            <w14:solidFill>
              <w14:schemeClr w14:val="tx1"/>
            </w14:solidFill>
          </w14:textFill>
        </w:rPr>
        <w:t>年来，学校</w:t>
      </w:r>
      <w:r>
        <w:rPr>
          <w:rFonts w:hint="eastAsia" w:ascii="仿宋" w:hAnsi="仿宋" w:eastAsia="仿宋" w:cs="仿宋"/>
          <w:b w:val="0"/>
          <w:bCs w:val="0"/>
          <w:color w:val="000000" w:themeColor="text1"/>
          <w:sz w:val="28"/>
          <w:szCs w:val="28"/>
          <w:lang w:eastAsia="zh-CN"/>
          <w14:textFill>
            <w14:solidFill>
              <w14:schemeClr w14:val="tx1"/>
            </w14:solidFill>
          </w14:textFill>
        </w:rPr>
        <w:t>为</w:t>
      </w:r>
      <w:r>
        <w:rPr>
          <w:rFonts w:hint="eastAsia" w:ascii="仿宋" w:hAnsi="仿宋" w:eastAsia="仿宋" w:cs="仿宋"/>
          <w:i w:val="0"/>
          <w:caps w:val="0"/>
          <w:color w:val="000000" w:themeColor="text1"/>
          <w:spacing w:val="0"/>
          <w:sz w:val="28"/>
          <w:szCs w:val="28"/>
          <w14:textFill>
            <w14:solidFill>
              <w14:schemeClr w14:val="tx1"/>
            </w14:solidFill>
          </w14:textFill>
        </w:rPr>
        <w:t>及时研究和解决毕业生就业工作中遇到的困难和问题</w:t>
      </w:r>
      <w:r>
        <w:rPr>
          <w:rFonts w:hint="eastAsia" w:ascii="仿宋" w:hAnsi="仿宋" w:eastAsia="仿宋" w:cs="仿宋"/>
          <w:b w:val="0"/>
          <w:bCs w:val="0"/>
          <w:color w:val="000000" w:themeColor="text1"/>
          <w:sz w:val="28"/>
          <w:szCs w:val="28"/>
          <w14:textFill>
            <w14:solidFill>
              <w14:schemeClr w14:val="tx1"/>
            </w14:solidFill>
          </w14:textFill>
        </w:rPr>
        <w:t>组织召开党委会、校长办公会达</w:t>
      </w:r>
      <w:r>
        <w:rPr>
          <w:rFonts w:hint="eastAsia" w:ascii="仿宋" w:hAnsi="仿宋" w:eastAsia="仿宋" w:cs="仿宋"/>
          <w:b w:val="0"/>
          <w:bCs w:val="0"/>
          <w:color w:val="000000" w:themeColor="text1"/>
          <w:sz w:val="28"/>
          <w:szCs w:val="28"/>
          <w:lang w:val="en-US" w:eastAsia="zh-CN"/>
          <w14:textFill>
            <w14:solidFill>
              <w14:schemeClr w14:val="tx1"/>
            </w14:solidFill>
          </w14:textFill>
        </w:rPr>
        <w:t>8</w:t>
      </w:r>
      <w:r>
        <w:rPr>
          <w:rFonts w:hint="eastAsia" w:ascii="仿宋" w:hAnsi="仿宋" w:eastAsia="仿宋" w:cs="仿宋"/>
          <w:b w:val="0"/>
          <w:bCs w:val="0"/>
          <w:color w:val="000000" w:themeColor="text1"/>
          <w:sz w:val="28"/>
          <w:szCs w:val="28"/>
          <w14:textFill>
            <w14:solidFill>
              <w14:schemeClr w14:val="tx1"/>
            </w14:solidFill>
          </w14:textFill>
        </w:rPr>
        <w:t>次</w:t>
      </w:r>
      <w:r>
        <w:rPr>
          <w:rFonts w:hint="eastAsia" w:ascii="仿宋" w:hAnsi="仿宋" w:eastAsia="仿宋" w:cs="仿宋"/>
          <w:b w:val="0"/>
          <w:bCs w:val="0"/>
          <w:color w:val="000000" w:themeColor="text1"/>
          <w:sz w:val="28"/>
          <w:szCs w:val="28"/>
          <w:lang w:eastAsia="zh-CN"/>
          <w14:textFill>
            <w14:solidFill>
              <w14:schemeClr w14:val="tx1"/>
            </w14:solidFill>
          </w14:textFill>
        </w:rPr>
        <w:t>之多，</w:t>
      </w:r>
      <w:r>
        <w:rPr>
          <w:rFonts w:hint="eastAsia" w:ascii="仿宋" w:hAnsi="仿宋" w:eastAsia="仿宋" w:cs="仿宋"/>
          <w:i w:val="0"/>
          <w:caps w:val="0"/>
          <w:color w:val="000000" w:themeColor="text1"/>
          <w:spacing w:val="0"/>
          <w:sz w:val="28"/>
          <w:szCs w:val="28"/>
          <w14:textFill>
            <w14:solidFill>
              <w14:schemeClr w14:val="tx1"/>
            </w14:solidFill>
          </w14:textFill>
        </w:rPr>
        <w:t>确保</w:t>
      </w:r>
      <w:r>
        <w:rPr>
          <w:rFonts w:hint="eastAsia" w:ascii="仿宋" w:hAnsi="仿宋" w:eastAsia="仿宋" w:cs="仿宋"/>
          <w:i w:val="0"/>
          <w:caps w:val="0"/>
          <w:color w:val="000000" w:themeColor="text1"/>
          <w:spacing w:val="0"/>
          <w:sz w:val="28"/>
          <w:szCs w:val="28"/>
          <w:lang w:eastAsia="zh-CN"/>
          <w14:textFill>
            <w14:solidFill>
              <w14:schemeClr w14:val="tx1"/>
            </w14:solidFill>
          </w14:textFill>
        </w:rPr>
        <w:t>了学</w:t>
      </w:r>
      <w:r>
        <w:rPr>
          <w:rFonts w:hint="eastAsia" w:ascii="仿宋" w:hAnsi="仿宋" w:eastAsia="仿宋" w:cs="仿宋"/>
          <w:i w:val="0"/>
          <w:caps w:val="0"/>
          <w:color w:val="000000" w:themeColor="text1"/>
          <w:spacing w:val="0"/>
          <w:sz w:val="28"/>
          <w:szCs w:val="28"/>
          <w14:textFill>
            <w14:solidFill>
              <w14:schemeClr w14:val="tx1"/>
            </w14:solidFill>
          </w14:textFill>
        </w:rPr>
        <w:t>校就业目标的全面完成。各有关部门和二级学院的党政主要负责人对本部门、本学院的毕业生就业工作负总责，明确就业工作责任和工作目标，</w:t>
      </w:r>
      <w:r>
        <w:rPr>
          <w:rFonts w:hint="eastAsia" w:ascii="仿宋" w:hAnsi="仿宋" w:eastAsia="仿宋" w:cs="仿宋"/>
          <w:i w:val="0"/>
          <w:caps w:val="0"/>
          <w:color w:val="000000" w:themeColor="text1"/>
          <w:spacing w:val="0"/>
          <w:sz w:val="28"/>
          <w:szCs w:val="28"/>
          <w:lang w:eastAsia="zh-CN"/>
          <w14:textFill>
            <w14:solidFill>
              <w14:schemeClr w14:val="tx1"/>
            </w14:solidFill>
          </w14:textFill>
        </w:rPr>
        <w:t>各二级学院</w:t>
      </w:r>
      <w:r>
        <w:rPr>
          <w:rFonts w:hint="eastAsia" w:ascii="仿宋" w:hAnsi="仿宋" w:eastAsia="仿宋" w:cs="仿宋"/>
          <w:b w:val="0"/>
          <w:bCs w:val="0"/>
          <w:color w:val="000000" w:themeColor="text1"/>
          <w:sz w:val="28"/>
          <w:szCs w:val="28"/>
          <w14:textFill>
            <w14:solidFill>
              <w14:schemeClr w14:val="tx1"/>
            </w14:solidFill>
          </w14:textFill>
        </w:rPr>
        <w:t>2020届毕业生初次平均就业率低于2019届毕业生初次平均就业率的将取消当年评优评奖资格。</w:t>
      </w:r>
      <w:r>
        <w:rPr>
          <w:rFonts w:hint="eastAsia" w:ascii="仿宋" w:hAnsi="仿宋" w:eastAsia="仿宋" w:cs="仿宋"/>
          <w:b w:val="0"/>
          <w:bCs w:val="0"/>
          <w:color w:val="000000" w:themeColor="text1"/>
          <w:sz w:val="28"/>
          <w:szCs w:val="28"/>
          <w:lang w:eastAsia="zh-CN"/>
          <w14:textFill>
            <w14:solidFill>
              <w14:schemeClr w14:val="tx1"/>
            </w14:solidFill>
          </w14:textFill>
        </w:rPr>
        <w:t>学校</w:t>
      </w:r>
      <w:r>
        <w:rPr>
          <w:rFonts w:hint="eastAsia" w:ascii="仿宋" w:hAnsi="仿宋" w:eastAsia="仿宋" w:cs="仿宋"/>
          <w:b w:val="0"/>
          <w:bCs w:val="0"/>
          <w:color w:val="000000" w:themeColor="text1"/>
          <w:sz w:val="28"/>
          <w:szCs w:val="28"/>
          <w14:textFill>
            <w14:solidFill>
              <w14:schemeClr w14:val="tx1"/>
            </w14:solidFill>
          </w14:textFill>
        </w:rPr>
        <w:t>逐步形成了各级重视、层层负责、齐抓共管、全员参与的毕业生就业创业</w:t>
      </w:r>
      <w:r>
        <w:rPr>
          <w:rFonts w:hint="eastAsia" w:ascii="仿宋" w:hAnsi="仿宋" w:eastAsia="仿宋" w:cs="仿宋"/>
          <w:i w:val="0"/>
          <w:caps w:val="0"/>
          <w:color w:val="000000" w:themeColor="text1"/>
          <w:spacing w:val="0"/>
          <w:sz w:val="28"/>
          <w:szCs w:val="28"/>
          <w14:textFill>
            <w14:solidFill>
              <w14:schemeClr w14:val="tx1"/>
            </w14:solidFill>
          </w14:textFill>
        </w:rPr>
        <w:t>工作格局。</w:t>
      </w:r>
      <w:bookmarkEnd w:id="93"/>
      <w:bookmarkEnd w:id="94"/>
    </w:p>
    <w:p>
      <w:pPr>
        <w:pStyle w:val="17"/>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240" w:lineRule="auto"/>
        <w:ind w:left="0" w:firstLine="0"/>
        <w:textAlignment w:val="auto"/>
        <w:outlineLvl w:val="1"/>
        <w:rPr>
          <w:rFonts w:hint="eastAsia" w:ascii="仿宋" w:hAnsi="仿宋" w:eastAsia="仿宋" w:cs="仿宋"/>
          <w:b/>
          <w:bCs/>
          <w:color w:val="1F497D"/>
          <w:kern w:val="2"/>
          <w:sz w:val="30"/>
          <w:szCs w:val="30"/>
          <w:lang w:val="en-US" w:eastAsia="zh-CN" w:bidi="ar-SA"/>
        </w:rPr>
      </w:pPr>
      <w:bookmarkStart w:id="95" w:name="_Toc20873"/>
      <w:r>
        <w:rPr>
          <w:rFonts w:hint="eastAsia" w:ascii="仿宋" w:hAnsi="仿宋" w:eastAsia="仿宋" w:cs="仿宋"/>
          <w:b/>
          <w:bCs/>
          <w:color w:val="1F497D"/>
          <w:kern w:val="2"/>
          <w:sz w:val="30"/>
          <w:szCs w:val="30"/>
          <w:lang w:val="en-US" w:eastAsia="zh-CN" w:bidi="ar-SA"/>
        </w:rPr>
        <w:t>5.2 做细做实，竭力完善就业工作体系</w:t>
      </w:r>
      <w:bookmarkEnd w:id="95"/>
      <w:bookmarkStart w:id="96" w:name="_Toc8387"/>
    </w:p>
    <w:p>
      <w:pPr>
        <w:keepNext w:val="0"/>
        <w:keepLines w:val="0"/>
        <w:pageBreakBefore w:val="0"/>
        <w:widowControl/>
        <w:numPr>
          <w:ilvl w:val="0"/>
          <w:numId w:val="0"/>
        </w:numPr>
        <w:tabs>
          <w:tab w:val="right" w:pos="8306"/>
        </w:tabs>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b w:val="0"/>
          <w:bCs/>
          <w:color w:val="000000"/>
          <w:sz w:val="28"/>
          <w:szCs w:val="28"/>
        </w:rPr>
      </w:pPr>
      <w:r>
        <w:rPr>
          <w:rFonts w:hint="eastAsia" w:ascii="仿宋" w:hAnsi="仿宋" w:eastAsia="仿宋" w:cs="仿宋"/>
          <w:b w:val="0"/>
          <w:bCs/>
          <w:kern w:val="0"/>
          <w:sz w:val="28"/>
          <w:szCs w:val="28"/>
          <w:lang w:val="en-US" w:eastAsia="zh-CN" w:bidi="ar-SA"/>
        </w:rPr>
        <w:t>1.认真执行就业创业政策。一是</w:t>
      </w:r>
      <w:r>
        <w:rPr>
          <w:rFonts w:hint="eastAsia" w:ascii="仿宋" w:hAnsi="仿宋" w:eastAsia="仿宋" w:cs="仿宋"/>
          <w:b w:val="0"/>
          <w:bCs/>
          <w:color w:val="000000"/>
          <w:sz w:val="28"/>
          <w:szCs w:val="28"/>
        </w:rPr>
        <w:t>鼓励和支持毕业生到基层、西部、重点领域和国家最需要的地方去建功立业</w:t>
      </w:r>
      <w:r>
        <w:rPr>
          <w:rFonts w:hint="eastAsia" w:ascii="仿宋" w:hAnsi="仿宋" w:eastAsia="仿宋" w:cs="仿宋"/>
          <w:b w:val="0"/>
          <w:bCs/>
          <w:color w:val="000000"/>
          <w:sz w:val="28"/>
          <w:szCs w:val="28"/>
          <w:lang w:eastAsia="zh-CN"/>
        </w:rPr>
        <w:t>。</w:t>
      </w:r>
      <w:r>
        <w:rPr>
          <w:rFonts w:hint="eastAsia" w:ascii="仿宋" w:hAnsi="仿宋" w:eastAsia="仿宋" w:cs="仿宋"/>
          <w:b w:val="0"/>
          <w:bCs/>
          <w:color w:val="000000"/>
          <w:sz w:val="28"/>
          <w:szCs w:val="28"/>
          <w:lang w:val="en-US" w:eastAsia="zh-CN"/>
        </w:rPr>
        <w:t>2020年8名毕业生入选国家和地方基层项目计划。</w:t>
      </w:r>
      <w:r>
        <w:rPr>
          <w:rFonts w:hint="eastAsia" w:ascii="仿宋" w:hAnsi="仿宋" w:eastAsia="仿宋" w:cs="仿宋"/>
          <w:b w:val="0"/>
          <w:bCs/>
          <w:color w:val="000000"/>
          <w:sz w:val="28"/>
          <w:szCs w:val="28"/>
        </w:rPr>
        <w:t>大学生应征入伍人数逐年增加，2020年48人应征入伍，完成了上级下达任务。</w:t>
      </w:r>
      <w:bookmarkEnd w:id="96"/>
      <w:bookmarkStart w:id="97" w:name="_Toc16363"/>
      <w:r>
        <w:rPr>
          <w:rFonts w:hint="eastAsia" w:ascii="仿宋" w:hAnsi="仿宋" w:eastAsia="仿宋" w:cs="仿宋"/>
          <w:b w:val="0"/>
          <w:bCs/>
          <w:color w:val="000000"/>
          <w:sz w:val="28"/>
          <w:szCs w:val="28"/>
          <w:lang w:eastAsia="zh-CN"/>
        </w:rPr>
        <w:t>二是</w:t>
      </w:r>
      <w:r>
        <w:rPr>
          <w:rFonts w:hint="eastAsia" w:ascii="仿宋" w:hAnsi="仿宋" w:eastAsia="仿宋" w:cs="仿宋"/>
          <w:b w:val="0"/>
          <w:bCs/>
          <w:color w:val="000000"/>
          <w:sz w:val="28"/>
          <w:szCs w:val="28"/>
        </w:rPr>
        <w:t>招生就业处和各二级学院针对学校的“建档立卡贫困生”建立就业档案，成立建档立卡贫困户家庭毕业生就业帮扶工作小组，制定相应的就业帮扶措施</w:t>
      </w:r>
      <w:r>
        <w:rPr>
          <w:rFonts w:hint="eastAsia" w:ascii="仿宋" w:hAnsi="仿宋" w:eastAsia="仿宋" w:cs="仿宋"/>
          <w:b w:val="0"/>
          <w:bCs/>
          <w:color w:val="000000"/>
          <w:sz w:val="28"/>
          <w:szCs w:val="28"/>
          <w:lang w:eastAsia="zh-CN"/>
        </w:rPr>
        <w:t>，</w:t>
      </w:r>
      <w:r>
        <w:rPr>
          <w:rFonts w:hint="eastAsia" w:ascii="仿宋" w:hAnsi="仿宋" w:eastAsia="仿宋" w:cs="仿宋"/>
          <w:b w:val="0"/>
          <w:bCs/>
          <w:color w:val="000000"/>
          <w:sz w:val="28"/>
          <w:szCs w:val="28"/>
        </w:rPr>
        <w:t>明确分管负责人，对困难毕业生情况进行了全面摸底排查。2020年</w:t>
      </w:r>
      <w:r>
        <w:rPr>
          <w:rFonts w:hint="eastAsia" w:ascii="仿宋" w:hAnsi="仿宋" w:eastAsia="仿宋" w:cs="仿宋"/>
          <w:b w:val="0"/>
          <w:bCs/>
          <w:color w:val="000000"/>
          <w:sz w:val="28"/>
          <w:szCs w:val="28"/>
          <w:lang w:val="en-US" w:eastAsia="zh-CN"/>
        </w:rPr>
        <w:t>学校共有</w:t>
      </w:r>
      <w:r>
        <w:rPr>
          <w:rFonts w:hint="eastAsia" w:ascii="仿宋" w:hAnsi="仿宋" w:eastAsia="仿宋" w:cs="仿宋"/>
          <w:b w:val="0"/>
          <w:bCs/>
          <w:color w:val="000000"/>
          <w:sz w:val="28"/>
          <w:szCs w:val="28"/>
        </w:rPr>
        <w:t>建档立卡贫困毕业生106人，占毕业生总数的3%</w:t>
      </w:r>
      <w:r>
        <w:rPr>
          <w:rFonts w:hint="eastAsia" w:ascii="仿宋" w:hAnsi="仿宋" w:eastAsia="仿宋" w:cs="仿宋"/>
          <w:b w:val="0"/>
          <w:bCs/>
          <w:color w:val="000000"/>
          <w:sz w:val="28"/>
          <w:szCs w:val="28"/>
          <w:lang w:eastAsia="zh-CN"/>
        </w:rPr>
        <w:t>。</w:t>
      </w:r>
      <w:r>
        <w:rPr>
          <w:rFonts w:hint="eastAsia" w:ascii="仿宋" w:hAnsi="仿宋" w:eastAsia="仿宋" w:cs="仿宋"/>
          <w:b w:val="0"/>
          <w:bCs/>
          <w:color w:val="000000"/>
          <w:sz w:val="28"/>
          <w:szCs w:val="28"/>
        </w:rPr>
        <w:t>截至2020年8月31日，除个别毕业生考公务员或考研暂不就业的，其余已全部实现就业。</w:t>
      </w:r>
    </w:p>
    <w:p>
      <w:pPr>
        <w:keepNext w:val="0"/>
        <w:keepLines w:val="0"/>
        <w:pageBreakBefore w:val="0"/>
        <w:widowControl/>
        <w:numPr>
          <w:ilvl w:val="0"/>
          <w:numId w:val="0"/>
        </w:numPr>
        <w:tabs>
          <w:tab w:val="right" w:pos="8306"/>
        </w:tabs>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b w:val="0"/>
          <w:bCs/>
          <w:sz w:val="28"/>
          <w:szCs w:val="28"/>
        </w:rPr>
      </w:pPr>
      <w:r>
        <w:rPr>
          <w:rFonts w:hint="eastAsia" w:ascii="仿宋" w:hAnsi="仿宋" w:eastAsia="仿宋" w:cs="仿宋"/>
          <w:b w:val="0"/>
          <w:bCs/>
          <w:kern w:val="0"/>
          <w:sz w:val="28"/>
          <w:szCs w:val="28"/>
          <w:lang w:val="en-US" w:eastAsia="zh-CN" w:bidi="ar-SA"/>
        </w:rPr>
        <w:t>2.夯实就创教育体系。</w:t>
      </w:r>
      <w:r>
        <w:rPr>
          <w:rFonts w:hint="eastAsia" w:ascii="仿宋" w:hAnsi="仿宋" w:eastAsia="仿宋" w:cs="仿宋"/>
          <w:b w:val="0"/>
          <w:bCs/>
          <w:color w:val="000000"/>
          <w:sz w:val="28"/>
          <w:szCs w:val="28"/>
          <w:lang w:val="en-US" w:eastAsia="zh-CN"/>
        </w:rPr>
        <w:t>一是学校开设了《大学生职业生涯与发展规划》《大学生就业指导》两门</w:t>
      </w:r>
      <w:r>
        <w:rPr>
          <w:rFonts w:hint="eastAsia" w:ascii="仿宋" w:hAnsi="仿宋" w:eastAsia="仿宋" w:cs="仿宋"/>
          <w:b w:val="0"/>
          <w:bCs/>
          <w:color w:val="000000"/>
          <w:sz w:val="28"/>
          <w:szCs w:val="28"/>
        </w:rPr>
        <w:t>公共必修课</w:t>
      </w:r>
      <w:r>
        <w:rPr>
          <w:rFonts w:hint="eastAsia" w:ascii="仿宋" w:hAnsi="仿宋" w:eastAsia="仿宋" w:cs="仿宋"/>
          <w:b w:val="0"/>
          <w:bCs/>
          <w:color w:val="000000"/>
          <w:sz w:val="28"/>
          <w:szCs w:val="28"/>
          <w:lang w:eastAsia="zh-CN"/>
        </w:rPr>
        <w:t>，</w:t>
      </w:r>
      <w:r>
        <w:rPr>
          <w:rFonts w:hint="eastAsia" w:ascii="仿宋" w:hAnsi="仿宋" w:eastAsia="仿宋" w:cs="仿宋"/>
          <w:b w:val="0"/>
          <w:bCs/>
          <w:color w:val="000000"/>
          <w:kern w:val="0"/>
          <w:sz w:val="28"/>
          <w:szCs w:val="28"/>
        </w:rPr>
        <w:t>职业生涯与发展规划课程建设通过了校课程思政建设立项和湖南省在线开放精品课程验收，同时，出版了《大学生</w:t>
      </w:r>
      <w:r>
        <w:rPr>
          <w:rFonts w:hint="eastAsia" w:ascii="仿宋" w:hAnsi="仿宋" w:eastAsia="仿宋" w:cs="仿宋"/>
          <w:b w:val="0"/>
          <w:bCs/>
          <w:color w:val="000000"/>
          <w:sz w:val="28"/>
          <w:szCs w:val="28"/>
        </w:rPr>
        <w:t>职业生涯规划</w:t>
      </w:r>
      <w:r>
        <w:rPr>
          <w:rFonts w:hint="eastAsia" w:ascii="仿宋" w:hAnsi="仿宋" w:eastAsia="仿宋" w:cs="仿宋"/>
          <w:b w:val="0"/>
          <w:bCs/>
          <w:color w:val="000000"/>
          <w:kern w:val="0"/>
          <w:sz w:val="28"/>
          <w:szCs w:val="28"/>
        </w:rPr>
        <w:t>》、</w:t>
      </w:r>
      <w:r>
        <w:rPr>
          <w:rFonts w:hint="eastAsia" w:ascii="仿宋" w:hAnsi="仿宋" w:eastAsia="仿宋" w:cs="仿宋"/>
          <w:b w:val="0"/>
          <w:bCs/>
          <w:color w:val="000000"/>
          <w:sz w:val="28"/>
          <w:szCs w:val="28"/>
        </w:rPr>
        <w:t>编写了</w:t>
      </w:r>
      <w:r>
        <w:rPr>
          <w:rFonts w:hint="eastAsia" w:ascii="仿宋" w:hAnsi="仿宋" w:eastAsia="仿宋" w:cs="仿宋"/>
          <w:b w:val="0"/>
          <w:bCs/>
          <w:color w:val="000000"/>
          <w:kern w:val="0"/>
          <w:sz w:val="28"/>
          <w:szCs w:val="28"/>
        </w:rPr>
        <w:t>《大学生就业指导》</w:t>
      </w:r>
      <w:r>
        <w:rPr>
          <w:rFonts w:hint="eastAsia" w:ascii="仿宋" w:hAnsi="仿宋" w:eastAsia="仿宋" w:cs="仿宋"/>
          <w:b w:val="0"/>
          <w:bCs/>
          <w:color w:val="000000"/>
          <w:kern w:val="0"/>
          <w:sz w:val="28"/>
          <w:szCs w:val="28"/>
          <w:lang w:eastAsia="zh-CN"/>
        </w:rPr>
        <w:t>、</w:t>
      </w:r>
      <w:r>
        <w:rPr>
          <w:rFonts w:hint="eastAsia" w:ascii="仿宋" w:hAnsi="仿宋" w:eastAsia="仿宋" w:cs="仿宋"/>
          <w:b w:val="0"/>
          <w:bCs/>
          <w:color w:val="000000"/>
          <w:sz w:val="28"/>
          <w:szCs w:val="28"/>
        </w:rPr>
        <w:t>《创业基础》</w:t>
      </w:r>
      <w:r>
        <w:rPr>
          <w:rFonts w:hint="eastAsia" w:ascii="仿宋" w:hAnsi="仿宋" w:eastAsia="仿宋" w:cs="仿宋"/>
          <w:b w:val="0"/>
          <w:bCs/>
          <w:color w:val="000000"/>
          <w:kern w:val="0"/>
          <w:sz w:val="28"/>
          <w:szCs w:val="28"/>
        </w:rPr>
        <w:t>教材</w:t>
      </w:r>
      <w:r>
        <w:rPr>
          <w:rFonts w:hint="eastAsia" w:ascii="仿宋" w:hAnsi="仿宋" w:eastAsia="仿宋" w:cs="仿宋"/>
          <w:b w:val="0"/>
          <w:bCs/>
          <w:color w:val="000000"/>
          <w:sz w:val="28"/>
          <w:szCs w:val="28"/>
        </w:rPr>
        <w:t>。在人才培养方案中设置8个创新实践活动学分，每年对学生的创新创业活动进行认定，学生多余的创新实践学分可以替代选修课程</w:t>
      </w:r>
      <w:r>
        <w:rPr>
          <w:rFonts w:hint="eastAsia" w:ascii="仿宋" w:hAnsi="仿宋" w:eastAsia="仿宋" w:cs="仿宋"/>
          <w:b w:val="0"/>
          <w:bCs/>
          <w:color w:val="000000"/>
          <w:sz w:val="28"/>
          <w:szCs w:val="28"/>
          <w:lang w:val="en-US" w:eastAsia="zh-CN"/>
        </w:rPr>
        <w:t>学分。</w:t>
      </w:r>
      <w:r>
        <w:rPr>
          <w:rFonts w:hint="eastAsia" w:ascii="仿宋" w:hAnsi="仿宋" w:eastAsia="仿宋" w:cs="仿宋"/>
          <w:b w:val="0"/>
          <w:bCs/>
          <w:color w:val="000000"/>
          <w:sz w:val="28"/>
          <w:szCs w:val="28"/>
        </w:rPr>
        <w:t>对于参加创新创业沙龙、讲座等活动的最多可认定4个学分，参加创办公司等创业实践活动给予认定4个学分。</w:t>
      </w:r>
      <w:r>
        <w:rPr>
          <w:rFonts w:hint="eastAsia" w:ascii="仿宋" w:hAnsi="仿宋" w:eastAsia="仿宋" w:cs="仿宋"/>
          <w:b w:val="0"/>
          <w:bCs/>
          <w:color w:val="000000"/>
          <w:sz w:val="28"/>
          <w:szCs w:val="28"/>
          <w:lang w:eastAsia="zh-CN"/>
        </w:rPr>
        <w:t>二是</w:t>
      </w:r>
      <w:r>
        <w:rPr>
          <w:rFonts w:hint="eastAsia" w:ascii="仿宋" w:hAnsi="仿宋" w:eastAsia="仿宋" w:cs="仿宋"/>
          <w:b w:val="0"/>
          <w:bCs/>
          <w:color w:val="000000"/>
          <w:sz w:val="28"/>
          <w:szCs w:val="28"/>
          <w:lang w:val="en-US" w:eastAsia="zh-CN"/>
        </w:rPr>
        <w:t>通过</w:t>
      </w:r>
      <w:r>
        <w:rPr>
          <w:rFonts w:hint="eastAsia" w:ascii="仿宋" w:hAnsi="仿宋" w:eastAsia="仿宋" w:cs="仿宋"/>
          <w:b w:val="0"/>
          <w:bCs/>
          <w:color w:val="000000"/>
          <w:sz w:val="28"/>
          <w:szCs w:val="28"/>
        </w:rPr>
        <w:t>开展“就业指导服务月”、“简历制作比赛”、“模拟面试”、“就业技能大赛”、“就业创业讲座”、“校友求职分享”、“1+1师生结对推荐就业”等活动</w:t>
      </w:r>
      <w:r>
        <w:rPr>
          <w:rFonts w:hint="eastAsia" w:ascii="仿宋" w:hAnsi="仿宋" w:eastAsia="仿宋" w:cs="仿宋"/>
          <w:b w:val="0"/>
          <w:bCs/>
          <w:color w:val="000000"/>
          <w:sz w:val="28"/>
          <w:szCs w:val="28"/>
          <w:lang w:eastAsia="zh-CN"/>
        </w:rPr>
        <w:t>，</w:t>
      </w:r>
      <w:r>
        <w:rPr>
          <w:rFonts w:hint="eastAsia" w:ascii="仿宋" w:hAnsi="仿宋" w:eastAsia="仿宋" w:cs="仿宋"/>
          <w:b w:val="0"/>
          <w:bCs/>
          <w:color w:val="000000"/>
          <w:sz w:val="28"/>
          <w:szCs w:val="28"/>
          <w:lang w:val="en-US" w:eastAsia="zh-CN"/>
        </w:rPr>
        <w:t>提高学生就业能力和素质</w:t>
      </w:r>
      <w:r>
        <w:rPr>
          <w:rFonts w:hint="eastAsia" w:ascii="仿宋" w:hAnsi="仿宋" w:eastAsia="仿宋" w:cs="仿宋"/>
          <w:b w:val="0"/>
          <w:bCs/>
          <w:color w:val="000000"/>
          <w:sz w:val="28"/>
          <w:szCs w:val="28"/>
        </w:rPr>
        <w:t>。</w:t>
      </w:r>
      <w:r>
        <w:rPr>
          <w:rFonts w:hint="eastAsia" w:ascii="仿宋" w:hAnsi="仿宋" w:eastAsia="仿宋" w:cs="仿宋"/>
          <w:b w:val="0"/>
          <w:bCs/>
          <w:color w:val="000000"/>
          <w:sz w:val="28"/>
          <w:szCs w:val="28"/>
          <w:lang w:eastAsia="zh-CN"/>
        </w:rPr>
        <w:t>三是</w:t>
      </w:r>
      <w:r>
        <w:rPr>
          <w:rFonts w:hint="eastAsia" w:ascii="仿宋" w:hAnsi="仿宋" w:eastAsia="仿宋" w:cs="仿宋"/>
          <w:b w:val="0"/>
          <w:bCs/>
          <w:color w:val="000000"/>
          <w:sz w:val="28"/>
          <w:szCs w:val="28"/>
          <w:lang w:val="en-US" w:eastAsia="zh-CN"/>
        </w:rPr>
        <w:t>学校为推进创新创业</w:t>
      </w:r>
      <w:r>
        <w:rPr>
          <w:rFonts w:hint="eastAsia" w:ascii="仿宋" w:hAnsi="仿宋" w:eastAsia="仿宋" w:cs="仿宋"/>
          <w:b w:val="0"/>
          <w:bCs/>
          <w:color w:val="000000"/>
          <w:sz w:val="28"/>
          <w:szCs w:val="28"/>
        </w:rPr>
        <w:t>开展</w:t>
      </w:r>
      <w:r>
        <w:rPr>
          <w:rFonts w:hint="eastAsia" w:ascii="仿宋" w:hAnsi="仿宋" w:eastAsia="仿宋" w:cs="仿宋"/>
          <w:b w:val="0"/>
          <w:bCs/>
          <w:color w:val="000000"/>
          <w:sz w:val="28"/>
          <w:szCs w:val="28"/>
          <w:lang w:val="en-US" w:eastAsia="zh-CN"/>
        </w:rPr>
        <w:t>了</w:t>
      </w:r>
      <w:r>
        <w:rPr>
          <w:rFonts w:hint="eastAsia" w:ascii="仿宋" w:hAnsi="仿宋" w:eastAsia="仿宋" w:cs="仿宋"/>
          <w:b w:val="0"/>
          <w:bCs/>
          <w:color w:val="000000"/>
          <w:sz w:val="28"/>
          <w:szCs w:val="28"/>
        </w:rPr>
        <w:t>四大特色活动：创新创业沙龙半月谈、一月一诊断、创新创业人物专栏、梅溪双创大讲堂，通过邀请成功企业家、职业经理人、风投专家等开展专题沙龙、讲座。近</w:t>
      </w:r>
      <w:r>
        <w:rPr>
          <w:rFonts w:hint="eastAsia" w:ascii="仿宋" w:hAnsi="仿宋" w:eastAsia="仿宋" w:cs="仿宋"/>
          <w:b w:val="0"/>
          <w:bCs/>
          <w:color w:val="000000"/>
          <w:sz w:val="28"/>
          <w:szCs w:val="28"/>
          <w:lang w:val="en-US" w:eastAsia="zh-CN"/>
        </w:rPr>
        <w:t>两</w:t>
      </w:r>
      <w:r>
        <w:rPr>
          <w:rFonts w:hint="eastAsia" w:ascii="仿宋" w:hAnsi="仿宋" w:eastAsia="仿宋" w:cs="仿宋"/>
          <w:b w:val="0"/>
          <w:bCs/>
          <w:color w:val="000000"/>
          <w:sz w:val="28"/>
          <w:szCs w:val="28"/>
        </w:rPr>
        <w:t>年开展了40多场创业活动，近6000学生参加。</w:t>
      </w:r>
      <w:r>
        <w:rPr>
          <w:rFonts w:hint="eastAsia" w:ascii="仿宋" w:hAnsi="仿宋" w:eastAsia="仿宋" w:cs="仿宋"/>
          <w:b w:val="0"/>
          <w:bCs/>
          <w:color w:val="000000"/>
          <w:sz w:val="28"/>
          <w:szCs w:val="28"/>
          <w:lang w:eastAsia="zh-CN"/>
        </w:rPr>
        <w:t>同时，</w:t>
      </w:r>
      <w:r>
        <w:rPr>
          <w:rFonts w:hint="eastAsia" w:ascii="仿宋" w:hAnsi="仿宋" w:eastAsia="仿宋" w:cs="仿宋"/>
          <w:b w:val="0"/>
          <w:bCs/>
          <w:color w:val="000000"/>
          <w:sz w:val="28"/>
          <w:szCs w:val="28"/>
          <w:lang w:val="en-US" w:eastAsia="zh-CN"/>
        </w:rPr>
        <w:t>学校还与湘江新区合作共同创办了湖南湘江新区创业就业学院，采用“培训＋参观＋实习”的模式，每学期组织100余名学生赴湘江新区国有企业和园区重点企业的金融财务岗位实习，培训班实行全免费，并由政府给予学生实习期每月1000元补贴，实现了“需求端”和“供给端”的无缝衔接和有序承接。</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outlineLvl w:val="1"/>
        <w:rPr>
          <w:rFonts w:hint="eastAsia" w:ascii="仿宋" w:hAnsi="仿宋" w:eastAsia="仿宋" w:cs="仿宋"/>
          <w:b w:val="0"/>
          <w:bCs/>
          <w:color w:val="000000"/>
          <w:sz w:val="28"/>
          <w:szCs w:val="28"/>
        </w:rPr>
      </w:pPr>
      <w:bookmarkStart w:id="98" w:name="_Toc22663"/>
      <w:bookmarkStart w:id="99" w:name="_Toc10847"/>
      <w:r>
        <w:rPr>
          <w:rFonts w:hint="eastAsia" w:ascii="仿宋" w:hAnsi="仿宋" w:eastAsia="仿宋" w:cs="仿宋"/>
          <w:b w:val="0"/>
          <w:bCs/>
          <w:kern w:val="0"/>
          <w:sz w:val="28"/>
          <w:szCs w:val="28"/>
          <w:lang w:val="en-US" w:eastAsia="zh-CN" w:bidi="ar-SA"/>
        </w:rPr>
        <w:t>3.优化</w:t>
      </w:r>
      <w:r>
        <w:rPr>
          <w:rFonts w:hint="eastAsia" w:ascii="仿宋" w:hAnsi="仿宋" w:eastAsia="仿宋" w:cs="仿宋"/>
          <w:b w:val="0"/>
          <w:bCs/>
          <w:color w:val="000000"/>
          <w:sz w:val="28"/>
          <w:szCs w:val="28"/>
        </w:rPr>
        <w:t>网上服务</w:t>
      </w:r>
      <w:r>
        <w:rPr>
          <w:rFonts w:hint="eastAsia" w:ascii="仿宋" w:hAnsi="仿宋" w:eastAsia="仿宋" w:cs="仿宋"/>
          <w:b w:val="0"/>
          <w:bCs/>
          <w:color w:val="000000"/>
          <w:sz w:val="28"/>
          <w:szCs w:val="28"/>
          <w:lang w:eastAsia="zh-CN"/>
        </w:rPr>
        <w:t>功能。</w:t>
      </w:r>
      <w:r>
        <w:rPr>
          <w:rFonts w:hint="eastAsia" w:ascii="仿宋" w:hAnsi="仿宋" w:eastAsia="仿宋" w:cs="仿宋"/>
          <w:b w:val="0"/>
          <w:bCs/>
          <w:color w:val="000000"/>
          <w:sz w:val="28"/>
          <w:szCs w:val="28"/>
          <w:lang w:val="en-US" w:eastAsia="zh-CN"/>
        </w:rPr>
        <w:t>学校</w:t>
      </w:r>
      <w:r>
        <w:rPr>
          <w:rFonts w:hint="eastAsia" w:ascii="仿宋" w:hAnsi="仿宋" w:eastAsia="仿宋" w:cs="仿宋"/>
          <w:b w:val="0"/>
          <w:bCs/>
          <w:color w:val="000000"/>
          <w:sz w:val="28"/>
          <w:szCs w:val="28"/>
        </w:rPr>
        <w:t>充分发挥就业网络的服务功能，加快“互联网+就业”智慧平台建设，丰富和完善线上业务办理相关功能，实现人岗信息智能匹配、精准推送。</w:t>
      </w:r>
      <w:bookmarkStart w:id="100" w:name="_Toc12668"/>
      <w:r>
        <w:rPr>
          <w:rFonts w:hint="eastAsia" w:ascii="仿宋" w:hAnsi="仿宋" w:eastAsia="仿宋" w:cs="仿宋"/>
          <w:b w:val="0"/>
          <w:bCs/>
          <w:color w:val="000000"/>
          <w:sz w:val="28"/>
          <w:szCs w:val="28"/>
        </w:rPr>
        <w:t>通过毕业生就业信息网、云就业平台和就业APP、微信、微博、短信平台等新媒体精准发布就业信息，全面实现毕业生就业创业信息化。</w:t>
      </w:r>
      <w:bookmarkEnd w:id="100"/>
      <w:r>
        <w:rPr>
          <w:rFonts w:hint="eastAsia" w:ascii="仿宋" w:hAnsi="仿宋" w:eastAsia="仿宋" w:cs="仿宋"/>
          <w:b w:val="0"/>
          <w:bCs/>
          <w:color w:val="000000"/>
          <w:sz w:val="28"/>
          <w:szCs w:val="28"/>
          <w:lang w:eastAsia="zh-CN"/>
        </w:rPr>
        <w:t>一年来</w:t>
      </w:r>
      <w:r>
        <w:rPr>
          <w:rFonts w:hint="eastAsia" w:ascii="仿宋" w:hAnsi="仿宋" w:eastAsia="仿宋" w:cs="仿宋"/>
          <w:b w:val="0"/>
          <w:bCs/>
          <w:color w:val="000000"/>
          <w:sz w:val="28"/>
          <w:szCs w:val="28"/>
        </w:rPr>
        <w:t>，通过云就业平台发布有效</w:t>
      </w:r>
      <w:r>
        <w:rPr>
          <w:rFonts w:hint="eastAsia" w:ascii="仿宋" w:hAnsi="仿宋" w:eastAsia="仿宋" w:cs="仿宋"/>
          <w:b w:val="0"/>
          <w:bCs/>
          <w:color w:val="000000" w:themeColor="text1"/>
          <w:sz w:val="28"/>
          <w:szCs w:val="28"/>
          <w:highlight w:val="none"/>
          <w14:textFill>
            <w14:solidFill>
              <w14:schemeClr w14:val="tx1"/>
            </w14:solidFill>
          </w14:textFill>
        </w:rPr>
        <w:t>招聘信息</w:t>
      </w:r>
      <w:r>
        <w:rPr>
          <w:rFonts w:hint="eastAsia" w:ascii="仿宋" w:hAnsi="仿宋" w:eastAsia="仿宋" w:cs="仿宋"/>
          <w:b w:val="0"/>
          <w:bCs/>
          <w:color w:val="000000" w:themeColor="text1"/>
          <w:sz w:val="28"/>
          <w:szCs w:val="28"/>
          <w:highlight w:val="none"/>
          <w:lang w:eastAsia="zh-CN"/>
          <w14:textFill>
            <w14:solidFill>
              <w14:schemeClr w14:val="tx1"/>
            </w14:solidFill>
          </w14:textFill>
        </w:rPr>
        <w:t>近</w:t>
      </w:r>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2000</w:t>
      </w:r>
      <w:r>
        <w:rPr>
          <w:rFonts w:hint="eastAsia" w:ascii="仿宋" w:hAnsi="仿宋" w:eastAsia="仿宋" w:cs="仿宋"/>
          <w:b w:val="0"/>
          <w:bCs/>
          <w:color w:val="000000" w:themeColor="text1"/>
          <w:sz w:val="28"/>
          <w:szCs w:val="28"/>
          <w:highlight w:val="none"/>
          <w14:textFill>
            <w14:solidFill>
              <w14:schemeClr w14:val="tx1"/>
            </w14:solidFill>
          </w14:textFill>
        </w:rPr>
        <w:t>条</w:t>
      </w:r>
      <w:r>
        <w:rPr>
          <w:rFonts w:hint="eastAsia" w:ascii="仿宋" w:hAnsi="仿宋" w:eastAsia="仿宋" w:cs="仿宋"/>
          <w:b w:val="0"/>
          <w:bCs/>
          <w:color w:val="000000"/>
          <w:sz w:val="28"/>
          <w:szCs w:val="28"/>
        </w:rPr>
        <w:t>。</w:t>
      </w:r>
      <w:r>
        <w:rPr>
          <w:rFonts w:hint="eastAsia" w:ascii="仿宋" w:hAnsi="仿宋" w:eastAsia="仿宋" w:cs="仿宋"/>
          <w:b w:val="0"/>
          <w:bCs/>
          <w:color w:val="000000"/>
          <w:sz w:val="28"/>
          <w:szCs w:val="28"/>
          <w:lang w:val="en-US" w:eastAsia="zh-CN"/>
        </w:rPr>
        <w:t>特别是今年</w:t>
      </w:r>
      <w:r>
        <w:rPr>
          <w:rFonts w:hint="eastAsia" w:ascii="仿宋" w:hAnsi="仿宋" w:eastAsia="仿宋" w:cs="仿宋"/>
          <w:b w:val="0"/>
          <w:bCs/>
          <w:color w:val="000000"/>
          <w:sz w:val="28"/>
          <w:szCs w:val="28"/>
        </w:rPr>
        <w:t>疫情防控期间，招生就业处通过云就业平台共发布招聘单位518家，提供岗位49054个。召开云宣讲单位32家，提供岗位1000多个。</w:t>
      </w:r>
      <w:bookmarkEnd w:id="98"/>
      <w:bookmarkEnd w:id="99"/>
    </w:p>
    <w:bookmarkEnd w:id="97"/>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b w:val="0"/>
          <w:bCs/>
          <w:color w:val="000000" w:themeColor="text1"/>
          <w:sz w:val="28"/>
          <w:szCs w:val="28"/>
          <w:lang w:val="en-US" w:eastAsia="zh-CN"/>
          <w14:textFill>
            <w14:solidFill>
              <w14:schemeClr w14:val="tx1"/>
            </w14:solidFill>
          </w14:textFill>
        </w:rPr>
      </w:pPr>
      <w:bookmarkStart w:id="101" w:name="_Toc25168"/>
      <w:r>
        <w:rPr>
          <w:rFonts w:hint="eastAsia" w:ascii="仿宋" w:hAnsi="仿宋" w:eastAsia="仿宋" w:cs="仿宋"/>
          <w:b w:val="0"/>
          <w:bCs/>
          <w:kern w:val="0"/>
          <w:sz w:val="28"/>
          <w:szCs w:val="28"/>
          <w:lang w:val="en-US" w:eastAsia="zh-CN" w:bidi="ar-SA"/>
        </w:rPr>
        <w:t>4.</w:t>
      </w:r>
      <w:r>
        <w:rPr>
          <w:rFonts w:hint="eastAsia" w:ascii="仿宋" w:hAnsi="仿宋" w:eastAsia="仿宋" w:cs="仿宋"/>
          <w:b w:val="0"/>
          <w:bCs/>
          <w:color w:val="000000"/>
          <w:sz w:val="28"/>
          <w:szCs w:val="28"/>
        </w:rPr>
        <w:t>搭好</w:t>
      </w:r>
      <w:r>
        <w:rPr>
          <w:rFonts w:hint="eastAsia" w:ascii="仿宋" w:hAnsi="仿宋" w:eastAsia="仿宋" w:cs="仿宋"/>
          <w:b w:val="0"/>
          <w:bCs/>
          <w:color w:val="000000"/>
          <w:sz w:val="28"/>
          <w:szCs w:val="28"/>
          <w:lang w:eastAsia="zh-CN"/>
        </w:rPr>
        <w:t>就业双选</w:t>
      </w:r>
      <w:r>
        <w:rPr>
          <w:rFonts w:hint="eastAsia" w:ascii="仿宋" w:hAnsi="仿宋" w:eastAsia="仿宋" w:cs="仿宋"/>
          <w:b w:val="0"/>
          <w:bCs/>
          <w:color w:val="000000"/>
          <w:sz w:val="28"/>
          <w:szCs w:val="28"/>
        </w:rPr>
        <w:t>平台</w:t>
      </w:r>
      <w:r>
        <w:rPr>
          <w:rFonts w:hint="eastAsia" w:ascii="仿宋" w:hAnsi="仿宋" w:eastAsia="仿宋" w:cs="仿宋"/>
          <w:b w:val="0"/>
          <w:bCs/>
          <w:color w:val="000000"/>
          <w:sz w:val="28"/>
          <w:szCs w:val="28"/>
          <w:lang w:eastAsia="zh-CN"/>
        </w:rPr>
        <w:t>。</w:t>
      </w:r>
      <w:r>
        <w:rPr>
          <w:rFonts w:hint="eastAsia" w:ascii="仿宋" w:hAnsi="仿宋" w:eastAsia="仿宋" w:cs="仿宋"/>
          <w:b w:val="0"/>
          <w:bCs/>
          <w:sz w:val="28"/>
          <w:szCs w:val="28"/>
          <w:lang w:eastAsia="zh-CN"/>
        </w:rPr>
        <w:t>学校高度重视就业市场建设，</w:t>
      </w:r>
      <w:r>
        <w:rPr>
          <w:rFonts w:hint="eastAsia" w:ascii="仿宋" w:hAnsi="仿宋" w:eastAsia="仿宋" w:cs="仿宋"/>
          <w:b w:val="0"/>
          <w:bCs/>
          <w:sz w:val="28"/>
          <w:szCs w:val="28"/>
        </w:rPr>
        <w:t>“走出去，引进来”，</w:t>
      </w:r>
      <w:r>
        <w:rPr>
          <w:rFonts w:hint="eastAsia" w:ascii="仿宋" w:hAnsi="仿宋" w:eastAsia="仿宋" w:cs="仿宋"/>
          <w:b w:val="0"/>
          <w:bCs/>
          <w:sz w:val="28"/>
          <w:szCs w:val="28"/>
          <w:lang w:eastAsia="zh-CN"/>
        </w:rPr>
        <w:t>学校领导多次带队，</w:t>
      </w:r>
      <w:r>
        <w:rPr>
          <w:rFonts w:hint="eastAsia" w:ascii="仿宋" w:hAnsi="仿宋" w:eastAsia="仿宋" w:cs="仿宋"/>
          <w:b w:val="0"/>
          <w:bCs/>
          <w:sz w:val="28"/>
          <w:szCs w:val="28"/>
        </w:rPr>
        <w:t>组织相关人员深入企业加强与用人单位的联系与沟通，充分了解就业信息，挖掘就业市场，把实习基地转变成就业基地，</w:t>
      </w:r>
      <w:r>
        <w:rPr>
          <w:rFonts w:hint="eastAsia" w:ascii="仿宋" w:hAnsi="仿宋" w:eastAsia="仿宋" w:cs="仿宋"/>
          <w:b w:val="0"/>
          <w:bCs/>
          <w:sz w:val="28"/>
          <w:szCs w:val="28"/>
          <w:lang w:eastAsia="zh-CN"/>
        </w:rPr>
        <w:t>深圳华侨城股份有限公司与我校签定了</w:t>
      </w:r>
      <w:r>
        <w:rPr>
          <w:rFonts w:hint="eastAsia" w:ascii="仿宋" w:hAnsi="仿宋" w:eastAsia="仿宋" w:cs="仿宋"/>
          <w:b w:val="0"/>
          <w:bCs/>
          <w:sz w:val="28"/>
          <w:szCs w:val="28"/>
        </w:rPr>
        <w:t>长期稳固的</w:t>
      </w:r>
      <w:r>
        <w:rPr>
          <w:rFonts w:hint="eastAsia" w:ascii="仿宋" w:hAnsi="仿宋" w:eastAsia="仿宋" w:cs="仿宋"/>
          <w:b w:val="0"/>
          <w:bCs/>
          <w:sz w:val="28"/>
          <w:szCs w:val="28"/>
          <w:lang w:eastAsia="zh-CN"/>
        </w:rPr>
        <w:t>实习</w:t>
      </w:r>
      <w:r>
        <w:rPr>
          <w:rFonts w:hint="eastAsia" w:ascii="仿宋" w:hAnsi="仿宋" w:eastAsia="仿宋" w:cs="仿宋"/>
          <w:b w:val="0"/>
          <w:bCs/>
          <w:sz w:val="28"/>
          <w:szCs w:val="28"/>
        </w:rPr>
        <w:t>就业合作关系</w:t>
      </w:r>
      <w:r>
        <w:rPr>
          <w:rFonts w:hint="eastAsia" w:ascii="仿宋" w:hAnsi="仿宋" w:eastAsia="仿宋" w:cs="仿宋"/>
          <w:b w:val="0"/>
          <w:bCs/>
          <w:sz w:val="28"/>
          <w:szCs w:val="28"/>
          <w:lang w:eastAsia="zh-CN"/>
        </w:rPr>
        <w:t>，根据协议，在公司实习生的人数，有</w:t>
      </w:r>
      <w:r>
        <w:rPr>
          <w:rFonts w:hint="eastAsia" w:ascii="仿宋" w:hAnsi="仿宋" w:eastAsia="仿宋" w:cs="仿宋"/>
          <w:b w:val="0"/>
          <w:bCs/>
          <w:sz w:val="28"/>
          <w:szCs w:val="28"/>
          <w:lang w:val="en-US" w:eastAsia="zh-CN"/>
        </w:rPr>
        <w:t>70%安排到公司就业。同时，招生就业处和各二级学院广邀用人单位，积极举办各类招聘活动。</w:t>
      </w:r>
      <w:r>
        <w:rPr>
          <w:rFonts w:hint="eastAsia" w:ascii="仿宋" w:hAnsi="仿宋" w:eastAsia="仿宋" w:cs="仿宋"/>
          <w:b w:val="0"/>
          <w:bCs/>
          <w:color w:val="000000"/>
          <w:sz w:val="28"/>
          <w:szCs w:val="28"/>
          <w:lang w:eastAsia="zh-CN"/>
        </w:rPr>
        <w:t>一年来</w:t>
      </w:r>
      <w:r>
        <w:rPr>
          <w:rFonts w:hint="eastAsia" w:ascii="仿宋" w:hAnsi="仿宋" w:eastAsia="仿宋" w:cs="仿宋"/>
          <w:b w:val="0"/>
          <w:bCs/>
          <w:color w:val="000000"/>
          <w:sz w:val="28"/>
          <w:szCs w:val="28"/>
        </w:rPr>
        <w:t>，</w:t>
      </w:r>
      <w:r>
        <w:rPr>
          <w:rFonts w:hint="eastAsia" w:ascii="仿宋" w:hAnsi="仿宋" w:eastAsia="仿宋" w:cs="仿宋"/>
          <w:b w:val="0"/>
          <w:bCs/>
          <w:color w:val="000000"/>
          <w:sz w:val="28"/>
          <w:szCs w:val="28"/>
          <w:lang w:val="en-US" w:eastAsia="zh-CN"/>
        </w:rPr>
        <w:t>学校</w:t>
      </w:r>
      <w:r>
        <w:rPr>
          <w:rFonts w:hint="eastAsia" w:ascii="仿宋" w:hAnsi="仿宋" w:eastAsia="仿宋" w:cs="仿宋"/>
          <w:b w:val="0"/>
          <w:bCs/>
          <w:color w:val="000000"/>
          <w:sz w:val="28"/>
          <w:szCs w:val="28"/>
        </w:rPr>
        <w:t>共接待用人单位</w:t>
      </w:r>
      <w:r>
        <w:rPr>
          <w:rFonts w:hint="eastAsia" w:ascii="仿宋" w:hAnsi="仿宋" w:eastAsia="仿宋" w:cs="仿宋"/>
          <w:b w:val="0"/>
          <w:bCs/>
          <w:color w:val="000000"/>
          <w:sz w:val="28"/>
          <w:szCs w:val="28"/>
          <w:lang w:val="en-US" w:eastAsia="zh-CN"/>
        </w:rPr>
        <w:t>7</w:t>
      </w:r>
      <w:r>
        <w:rPr>
          <w:rFonts w:hint="eastAsia" w:ascii="仿宋" w:hAnsi="仿宋" w:eastAsia="仿宋" w:cs="仿宋"/>
          <w:b w:val="0"/>
          <w:bCs/>
          <w:color w:val="000000"/>
          <w:sz w:val="28"/>
          <w:szCs w:val="28"/>
        </w:rPr>
        <w:t>00多家，举办各类大中小和专场招聘会近</w:t>
      </w:r>
      <w:r>
        <w:rPr>
          <w:rFonts w:hint="eastAsia" w:ascii="仿宋" w:hAnsi="仿宋" w:eastAsia="仿宋" w:cs="仿宋"/>
          <w:b w:val="0"/>
          <w:bCs/>
          <w:color w:val="000000"/>
          <w:sz w:val="28"/>
          <w:szCs w:val="28"/>
          <w:lang w:val="en-US" w:eastAsia="zh-CN"/>
        </w:rPr>
        <w:t>3</w:t>
      </w:r>
      <w:r>
        <w:rPr>
          <w:rFonts w:hint="eastAsia" w:ascii="仿宋" w:hAnsi="仿宋" w:eastAsia="仿宋" w:cs="仿宋"/>
          <w:b w:val="0"/>
          <w:bCs/>
          <w:color w:val="000000"/>
          <w:sz w:val="28"/>
          <w:szCs w:val="28"/>
        </w:rPr>
        <w:t>00场、提供有效就业岗位</w:t>
      </w:r>
      <w:r>
        <w:rPr>
          <w:rFonts w:hint="eastAsia" w:ascii="仿宋" w:hAnsi="仿宋" w:eastAsia="仿宋" w:cs="仿宋"/>
          <w:b w:val="0"/>
          <w:bCs/>
          <w:color w:val="000000"/>
          <w:sz w:val="28"/>
          <w:szCs w:val="28"/>
          <w:lang w:eastAsia="zh-CN"/>
        </w:rPr>
        <w:t>近</w:t>
      </w:r>
      <w:r>
        <w:rPr>
          <w:rFonts w:hint="eastAsia" w:ascii="仿宋" w:hAnsi="仿宋" w:eastAsia="仿宋" w:cs="仿宋"/>
          <w:b w:val="0"/>
          <w:bCs/>
          <w:color w:val="000000"/>
          <w:sz w:val="28"/>
          <w:szCs w:val="28"/>
          <w:lang w:val="en-US" w:eastAsia="zh-CN"/>
        </w:rPr>
        <w:t>4</w:t>
      </w:r>
      <w:r>
        <w:rPr>
          <w:rFonts w:hint="eastAsia" w:ascii="仿宋" w:hAnsi="仿宋" w:eastAsia="仿宋" w:cs="仿宋"/>
          <w:b w:val="0"/>
          <w:bCs/>
          <w:color w:val="000000"/>
          <w:sz w:val="28"/>
          <w:szCs w:val="28"/>
        </w:rPr>
        <w:t>万多个。与省教育厅联合举办了</w:t>
      </w:r>
      <w:r>
        <w:rPr>
          <w:rFonts w:hint="eastAsia" w:ascii="仿宋" w:hAnsi="仿宋" w:eastAsia="仿宋" w:cs="仿宋"/>
          <w:b w:val="0"/>
          <w:bCs/>
          <w:color w:val="000000" w:themeColor="text1"/>
          <w:sz w:val="28"/>
          <w:szCs w:val="28"/>
          <w14:textFill>
            <w14:solidFill>
              <w14:schemeClr w14:val="tx1"/>
            </w14:solidFill>
          </w14:textFill>
        </w:rPr>
        <w:t>“湖南省经管类202</w:t>
      </w:r>
      <w:r>
        <w:rPr>
          <w:rFonts w:hint="eastAsia" w:ascii="仿宋" w:hAnsi="仿宋" w:eastAsia="仿宋" w:cs="仿宋"/>
          <w:b w:val="0"/>
          <w:bCs/>
          <w:color w:val="000000" w:themeColor="text1"/>
          <w:sz w:val="28"/>
          <w:szCs w:val="28"/>
          <w:lang w:val="en-US" w:eastAsia="zh-CN"/>
          <w14:textFill>
            <w14:solidFill>
              <w14:schemeClr w14:val="tx1"/>
            </w14:solidFill>
          </w14:textFill>
        </w:rPr>
        <w:t>1</w:t>
      </w:r>
      <w:r>
        <w:rPr>
          <w:rFonts w:hint="eastAsia" w:ascii="仿宋" w:hAnsi="仿宋" w:eastAsia="仿宋" w:cs="仿宋"/>
          <w:b w:val="0"/>
          <w:bCs/>
          <w:color w:val="000000" w:themeColor="text1"/>
          <w:sz w:val="28"/>
          <w:szCs w:val="28"/>
          <w14:textFill>
            <w14:solidFill>
              <w14:schemeClr w14:val="tx1"/>
            </w14:solidFill>
          </w14:textFill>
        </w:rPr>
        <w:t>届毕业生校园大型供需见面会”，提供优质岗位近</w:t>
      </w:r>
      <w:r>
        <w:rPr>
          <w:rFonts w:hint="eastAsia" w:ascii="仿宋" w:hAnsi="仿宋" w:eastAsia="仿宋" w:cs="仿宋"/>
          <w:color w:val="000000" w:themeColor="text1"/>
          <w:sz w:val="28"/>
          <w:szCs w:val="28"/>
          <w14:textFill>
            <w14:solidFill>
              <w14:schemeClr w14:val="tx1"/>
            </w14:solidFill>
          </w14:textFill>
        </w:rPr>
        <w:t>20156</w:t>
      </w:r>
      <w:r>
        <w:rPr>
          <w:rFonts w:hint="eastAsia" w:ascii="仿宋" w:hAnsi="仿宋" w:eastAsia="仿宋" w:cs="仿宋"/>
          <w:b w:val="0"/>
          <w:bCs/>
          <w:color w:val="000000" w:themeColor="text1"/>
          <w:sz w:val="28"/>
          <w:szCs w:val="28"/>
          <w14:textFill>
            <w14:solidFill>
              <w14:schemeClr w14:val="tx1"/>
            </w14:solidFill>
          </w14:textFill>
        </w:rPr>
        <w:t>个，当天招聘会现场</w:t>
      </w:r>
      <w:r>
        <w:rPr>
          <w:rFonts w:hint="eastAsia" w:ascii="仿宋" w:hAnsi="仿宋" w:eastAsia="仿宋" w:cs="仿宋"/>
          <w:b w:val="0"/>
          <w:bCs/>
          <w:color w:val="000000" w:themeColor="text1"/>
          <w:sz w:val="28"/>
          <w:szCs w:val="28"/>
          <w:lang w:eastAsia="zh-CN"/>
          <w14:textFill>
            <w14:solidFill>
              <w14:schemeClr w14:val="tx1"/>
            </w14:solidFill>
          </w14:textFill>
        </w:rPr>
        <w:t>约</w:t>
      </w:r>
      <w:r>
        <w:rPr>
          <w:rFonts w:hint="eastAsia" w:ascii="仿宋" w:hAnsi="仿宋" w:eastAsia="仿宋" w:cs="仿宋"/>
          <w:color w:val="000000" w:themeColor="text1"/>
          <w:sz w:val="28"/>
          <w:szCs w:val="28"/>
          <w14:textFill>
            <w14:solidFill>
              <w14:schemeClr w14:val="tx1"/>
            </w14:solidFill>
          </w14:textFill>
        </w:rPr>
        <w:t>3500</w:t>
      </w:r>
      <w:r>
        <w:rPr>
          <w:rFonts w:hint="eastAsia" w:ascii="仿宋" w:hAnsi="仿宋" w:eastAsia="仿宋" w:cs="仿宋"/>
          <w:b w:val="0"/>
          <w:bCs/>
          <w:color w:val="000000" w:themeColor="text1"/>
          <w:sz w:val="28"/>
          <w:szCs w:val="28"/>
          <w14:textFill>
            <w14:solidFill>
              <w14:schemeClr w14:val="tx1"/>
            </w14:solidFill>
          </w14:textFill>
        </w:rPr>
        <w:t>人达成初步就业意向，300人当场签订就业协议。</w:t>
      </w:r>
      <w:bookmarkEnd w:id="101"/>
      <w:bookmarkStart w:id="102" w:name="_Toc18613"/>
    </w:p>
    <w:p>
      <w:pPr>
        <w:pStyle w:val="17"/>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240" w:lineRule="auto"/>
        <w:ind w:left="0" w:firstLine="0"/>
        <w:textAlignment w:val="auto"/>
        <w:outlineLvl w:val="1"/>
        <w:rPr>
          <w:rFonts w:hint="eastAsia" w:ascii="仿宋" w:hAnsi="仿宋" w:eastAsia="仿宋" w:cs="仿宋"/>
          <w:b/>
          <w:bCs/>
          <w:color w:val="1F497D"/>
          <w:kern w:val="2"/>
          <w:sz w:val="30"/>
          <w:szCs w:val="30"/>
          <w:lang w:val="en-US" w:eastAsia="zh-CN" w:bidi="ar-SA"/>
        </w:rPr>
      </w:pPr>
      <w:bookmarkStart w:id="103" w:name="_Toc12896"/>
      <w:r>
        <w:rPr>
          <w:rFonts w:hint="eastAsia" w:ascii="仿宋" w:hAnsi="仿宋" w:eastAsia="仿宋" w:cs="仿宋"/>
          <w:b/>
          <w:bCs/>
          <w:color w:val="1F497D"/>
          <w:kern w:val="2"/>
          <w:sz w:val="30"/>
          <w:szCs w:val="30"/>
          <w:lang w:val="en-US" w:eastAsia="zh-CN" w:bidi="ar-SA"/>
        </w:rPr>
        <w:t>5.3 创新方法，科学凝练优势特色</w:t>
      </w:r>
      <w:bookmarkEnd w:id="103"/>
    </w:p>
    <w:p>
      <w:pPr>
        <w:keepNext w:val="0"/>
        <w:keepLines w:val="0"/>
        <w:pageBreakBefore w:val="0"/>
        <w:widowControl w:val="0"/>
        <w:numPr>
          <w:ilvl w:val="0"/>
          <w:numId w:val="0"/>
        </w:numPr>
        <w:tabs>
          <w:tab w:val="left" w:pos="850"/>
        </w:tabs>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b w:val="0"/>
          <w:bCs/>
          <w:color w:val="000000" w:themeColor="text1"/>
          <w:kern w:val="0"/>
          <w:sz w:val="28"/>
          <w:szCs w:val="28"/>
          <w:lang w:val="en-US" w:eastAsia="zh-CN" w:bidi="ar-SA"/>
          <w14:textFill>
            <w14:solidFill>
              <w14:schemeClr w14:val="tx1"/>
            </w14:solidFill>
          </w14:textFill>
        </w:rPr>
      </w:pPr>
      <w:r>
        <w:rPr>
          <w:rFonts w:hint="eastAsia" w:ascii="仿宋" w:hAnsi="仿宋" w:eastAsia="仿宋" w:cs="仿宋"/>
          <w:b w:val="0"/>
          <w:bCs/>
          <w:color w:val="000000" w:themeColor="text1"/>
          <w:sz w:val="28"/>
          <w:szCs w:val="28"/>
          <w:lang w:val="en-US" w:eastAsia="zh-CN"/>
          <w14:textFill>
            <w14:solidFill>
              <w14:schemeClr w14:val="tx1"/>
            </w14:solidFill>
          </w14:textFill>
        </w:rPr>
        <w:t>1.深化人才培养模式。</w:t>
      </w:r>
      <w:r>
        <w:rPr>
          <w:rFonts w:hint="eastAsia" w:ascii="仿宋" w:hAnsi="仿宋" w:eastAsia="仿宋" w:cs="仿宋"/>
          <w:b w:val="0"/>
          <w:bCs/>
          <w:color w:val="000000" w:themeColor="text1"/>
          <w:sz w:val="28"/>
          <w:szCs w:val="28"/>
          <w14:textFill>
            <w14:solidFill>
              <w14:schemeClr w14:val="tx1"/>
            </w14:solidFill>
          </w14:textFill>
        </w:rPr>
        <w:t>学校坚持“新时代、新思想、育新人”人才培养理念，深化教育教学综合改革，</w:t>
      </w:r>
      <w:r>
        <w:rPr>
          <w:rFonts w:hint="eastAsia" w:ascii="仿宋" w:hAnsi="仿宋" w:eastAsia="仿宋" w:cs="仿宋"/>
          <w:b w:val="0"/>
          <w:bCs/>
          <w:color w:val="000000" w:themeColor="text1"/>
          <w:sz w:val="28"/>
          <w:szCs w:val="28"/>
          <w:lang w:val="en-US" w:eastAsia="zh-CN"/>
          <w14:textFill>
            <w14:solidFill>
              <w14:schemeClr w14:val="tx1"/>
            </w14:solidFill>
          </w14:textFill>
        </w:rPr>
        <w:t>全面</w:t>
      </w:r>
      <w:r>
        <w:rPr>
          <w:rFonts w:hint="eastAsia" w:ascii="仿宋" w:hAnsi="仿宋" w:eastAsia="仿宋" w:cs="仿宋"/>
          <w:b w:val="0"/>
          <w:bCs/>
          <w:color w:val="000000" w:themeColor="text1"/>
          <w:sz w:val="28"/>
          <w:szCs w:val="28"/>
          <w14:textFill>
            <w14:solidFill>
              <w14:schemeClr w14:val="tx1"/>
            </w14:solidFill>
          </w14:textFill>
        </w:rPr>
        <w:t>修订了人才培养方案，以国家“新工科、新文科”建设为契机，</w:t>
      </w:r>
      <w:r>
        <w:rPr>
          <w:rFonts w:hint="eastAsia" w:ascii="仿宋" w:hAnsi="仿宋" w:eastAsia="仿宋" w:cs="仿宋"/>
          <w:b w:val="0"/>
          <w:bCs/>
          <w:color w:val="000000" w:themeColor="text1"/>
          <w:sz w:val="28"/>
          <w:szCs w:val="28"/>
          <w:lang w:val="en-US" w:eastAsia="zh-CN"/>
          <w14:textFill>
            <w14:solidFill>
              <w14:schemeClr w14:val="tx1"/>
            </w14:solidFill>
          </w14:textFill>
        </w:rPr>
        <w:t>开办了</w:t>
      </w:r>
      <w:r>
        <w:rPr>
          <w:rFonts w:hint="eastAsia" w:ascii="仿宋" w:hAnsi="仿宋" w:eastAsia="仿宋" w:cs="仿宋"/>
          <w:b w:val="0"/>
          <w:bCs/>
          <w:color w:val="000000" w:themeColor="text1"/>
          <w:sz w:val="28"/>
          <w:szCs w:val="28"/>
          <w14:textFill>
            <w14:solidFill>
              <w14:schemeClr w14:val="tx1"/>
            </w14:solidFill>
          </w14:textFill>
        </w:rPr>
        <w:t>人才培养改革实验</w:t>
      </w:r>
      <w:r>
        <w:rPr>
          <w:rFonts w:hint="eastAsia" w:ascii="仿宋" w:hAnsi="仿宋" w:eastAsia="仿宋" w:cs="仿宋"/>
          <w:b w:val="0"/>
          <w:bCs/>
          <w:color w:val="000000" w:themeColor="text1"/>
          <w:sz w:val="28"/>
          <w:szCs w:val="28"/>
          <w:lang w:val="en-US" w:eastAsia="zh-CN"/>
          <w14:textFill>
            <w14:solidFill>
              <w14:schemeClr w14:val="tx1"/>
            </w14:solidFill>
          </w14:textFill>
        </w:rPr>
        <w:t>班</w:t>
      </w:r>
      <w:r>
        <w:rPr>
          <w:rFonts w:hint="eastAsia" w:ascii="仿宋" w:hAnsi="仿宋" w:eastAsia="仿宋" w:cs="仿宋"/>
          <w:b w:val="0"/>
          <w:bCs/>
          <w:color w:val="000000" w:themeColor="text1"/>
          <w:sz w:val="28"/>
          <w:szCs w:val="28"/>
          <w14:textFill>
            <w14:solidFill>
              <w14:schemeClr w14:val="tx1"/>
            </w14:solidFill>
          </w14:textFill>
        </w:rPr>
        <w:t>，培养拔尖创新型人才。按照“5+10+X”模式推行三学期制，结合学生兴趣与发展方向开办了第二学士学位班、公务员、托福、GRE等辅导班，拓展海外硕士项目，结合学生发展兴趣与发展方向，推动人才培养体系不断优化，努力培养适应和引领新一轮科技革命和产业变革的高级应用型人才。</w:t>
      </w:r>
      <w:r>
        <w:rPr>
          <w:rFonts w:hint="eastAsia" w:ascii="仿宋" w:hAnsi="仿宋" w:eastAsia="仿宋" w:cs="仿宋"/>
          <w:b w:val="0"/>
          <w:bCs/>
          <w:color w:val="000000" w:themeColor="text1"/>
          <w:sz w:val="28"/>
          <w:szCs w:val="28"/>
          <w:lang w:val="en-US" w:eastAsia="zh-CN"/>
          <w14:textFill>
            <w14:solidFill>
              <w14:schemeClr w14:val="tx1"/>
            </w14:solidFill>
          </w14:textFill>
        </w:rPr>
        <w:t>学校把高水平师资队伍作为发展的第一资源，近两年引进了200余名博士教师，经管类博士教师数量在全省高校处于领先水平。</w:t>
      </w:r>
    </w:p>
    <w:p>
      <w:pPr>
        <w:keepNext w:val="0"/>
        <w:keepLines w:val="0"/>
        <w:pageBreakBefore w:val="0"/>
        <w:widowControl w:val="0"/>
        <w:numPr>
          <w:ilvl w:val="0"/>
          <w:numId w:val="0"/>
        </w:numPr>
        <w:tabs>
          <w:tab w:val="left" w:pos="850"/>
        </w:tabs>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b w:val="0"/>
          <w:bCs/>
          <w:color w:val="000000" w:themeColor="text1"/>
          <w:sz w:val="28"/>
          <w:szCs w:val="28"/>
          <w:lang w:eastAsia="zh-CN"/>
          <w14:textFill>
            <w14:solidFill>
              <w14:schemeClr w14:val="tx1"/>
            </w14:solidFill>
          </w14:textFill>
        </w:rPr>
      </w:pPr>
      <w:r>
        <w:rPr>
          <w:rFonts w:hint="eastAsia" w:ascii="仿宋" w:hAnsi="仿宋" w:eastAsia="仿宋" w:cs="仿宋"/>
          <w:b w:val="0"/>
          <w:bCs/>
          <w:color w:val="000000"/>
          <w:sz w:val="28"/>
          <w:szCs w:val="28"/>
          <w:lang w:val="en-US" w:eastAsia="zh-CN"/>
        </w:rPr>
        <w:t>2.完善联动机制。</w:t>
      </w:r>
      <w:r>
        <w:rPr>
          <w:rFonts w:hint="eastAsia" w:ascii="仿宋" w:hAnsi="仿宋" w:eastAsia="仿宋" w:cs="仿宋"/>
          <w:b w:val="0"/>
          <w:bCs/>
          <w:color w:val="000000"/>
          <w:sz w:val="28"/>
          <w:szCs w:val="28"/>
        </w:rPr>
        <w:t>学校在制定或修改相关政策时，充分考虑就业工作的“三挂钩”、“三结合”（就业工作与评优、绩效、学业指导老师考核挂钩；就业工作与老师课时质量、实习、培养方案结合）。切实对照上级主管部门要求，将就业创业知识竞赛参赛率、职业规划大赛参赛率、考研报考率、基层就业项目报名人数等各项就业工作指标进行层层分解，责任到人</w:t>
      </w:r>
      <w:r>
        <w:rPr>
          <w:rFonts w:hint="eastAsia" w:ascii="仿宋" w:hAnsi="仿宋" w:eastAsia="仿宋" w:cs="仿宋"/>
          <w:b w:val="0"/>
          <w:bCs/>
          <w:color w:val="000000"/>
          <w:sz w:val="28"/>
          <w:szCs w:val="28"/>
          <w:lang w:eastAsia="zh-CN"/>
        </w:rPr>
        <w:t>，</w:t>
      </w:r>
      <w:r>
        <w:rPr>
          <w:rFonts w:hint="eastAsia" w:ascii="仿宋" w:hAnsi="仿宋" w:eastAsia="仿宋" w:cs="仿宋"/>
          <w:b w:val="0"/>
          <w:bCs/>
          <w:color w:val="000000"/>
          <w:sz w:val="28"/>
          <w:szCs w:val="28"/>
        </w:rPr>
        <w:t>进一步加大就业创业工作在绩效中的比重，充分调动各二级学院在就业创业工作中的积极性和主动性。</w:t>
      </w:r>
      <w:r>
        <w:rPr>
          <w:rFonts w:hint="eastAsia" w:ascii="仿宋" w:hAnsi="仿宋" w:eastAsia="仿宋" w:cs="仿宋"/>
          <w:b w:val="0"/>
          <w:bCs/>
          <w:color w:val="000000" w:themeColor="text1"/>
          <w:sz w:val="28"/>
          <w:szCs w:val="28"/>
          <w:lang w:eastAsia="zh-CN"/>
          <w14:textFill>
            <w14:solidFill>
              <w14:schemeClr w14:val="tx1"/>
            </w14:solidFill>
          </w14:textFill>
        </w:rPr>
        <w:t>逐步形成了招生、就业和教学三方联动的有效机制。</w:t>
      </w:r>
    </w:p>
    <w:bookmarkEnd w:id="102"/>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b/>
          <w:bCs/>
          <w:sz w:val="30"/>
          <w:szCs w:val="30"/>
          <w:lang w:val="en-US" w:eastAsia="zh-CN"/>
          <w14:textFill>
            <w14:gradFill>
              <w14:gsLst>
                <w14:gs w14:pos="0">
                  <w14:srgbClr w14:val="007BD3"/>
                </w14:gs>
                <w14:gs w14:pos="100000">
                  <w14:srgbClr w14:val="034373"/>
                </w14:gs>
              </w14:gsLst>
              <w14:lin w14:scaled="0"/>
            </w14:gradFill>
          </w14:textFill>
        </w:rPr>
      </w:pPr>
      <w:bookmarkStart w:id="104" w:name="_Toc1565"/>
      <w:bookmarkStart w:id="105" w:name="_Toc4722"/>
      <w:r>
        <w:rPr>
          <w:rFonts w:hint="eastAsia" w:ascii="仿宋" w:hAnsi="仿宋" w:eastAsia="仿宋" w:cs="仿宋"/>
          <w:b w:val="0"/>
          <w:bCs/>
          <w:kern w:val="0"/>
          <w:sz w:val="28"/>
          <w:szCs w:val="28"/>
          <w:lang w:val="en-US" w:eastAsia="zh-CN" w:bidi="ar-SA"/>
        </w:rPr>
        <w:t>3.校领导牵头针对特殊群体开展精准帮扶。</w:t>
      </w:r>
      <w:r>
        <w:rPr>
          <w:rFonts w:hint="eastAsia" w:ascii="仿宋" w:hAnsi="仿宋" w:eastAsia="仿宋" w:cs="仿宋"/>
          <w:b w:val="0"/>
          <w:bCs/>
          <w:color w:val="000000"/>
          <w:sz w:val="28"/>
          <w:szCs w:val="28"/>
        </w:rPr>
        <w:t>学校要求每位校领导负责联系一个2020届毕业班，了解掌握联系班级就业状况；指导、帮助联系毕业班做好学生的就业指导、心理疏导和毕业指导；充分利用个人资源，积极向用人单位推荐毕业生，帮助学生充分就业。招生就业处和各二级学院把实现建档立卡贫困毕业生全面就业定为就业工作重点目标，针对学校的“建档立卡贫困生”建立就业档案，制定相应的就业帮扶措施。</w:t>
      </w:r>
      <w:r>
        <w:rPr>
          <w:rFonts w:hint="eastAsia" w:ascii="仿宋" w:hAnsi="仿宋" w:eastAsia="仿宋" w:cs="仿宋"/>
          <w:b w:val="0"/>
          <w:bCs/>
          <w:color w:val="000000"/>
          <w:sz w:val="28"/>
          <w:szCs w:val="28"/>
          <w:lang w:eastAsia="zh-CN"/>
        </w:rPr>
        <w:t>同时，学校充分利用政府各级就业创业帮扶政策，帮助贫困毕业生积极申报求职创业补贴，帮助毕业生解决求职创业中的一些实际问题。</w:t>
      </w:r>
      <w:r>
        <w:rPr>
          <w:rFonts w:hint="eastAsia" w:ascii="仿宋" w:hAnsi="仿宋" w:eastAsia="仿宋" w:cs="仿宋"/>
          <w:b w:val="0"/>
          <w:bCs/>
          <w:color w:val="000000"/>
          <w:sz w:val="28"/>
          <w:szCs w:val="28"/>
        </w:rPr>
        <w:t>2020届毕业生282人申报求职创业补贴，共计42.3万元，湖北籍毕业生40人申报求职创业补贴，共计6万元</w:t>
      </w:r>
      <w:bookmarkEnd w:id="104"/>
      <w:r>
        <w:rPr>
          <w:rFonts w:hint="eastAsia" w:ascii="仿宋" w:hAnsi="仿宋" w:eastAsia="仿宋" w:cs="仿宋"/>
          <w:b w:val="0"/>
          <w:bCs/>
          <w:color w:val="000000"/>
          <w:sz w:val="28"/>
          <w:szCs w:val="28"/>
          <w:lang w:eastAsia="zh-CN"/>
        </w:rPr>
        <w:t>。</w:t>
      </w:r>
    </w:p>
    <w:p>
      <w:pPr>
        <w:rPr>
          <w:rFonts w:hint="eastAsia" w:ascii="仿宋" w:hAnsi="仿宋" w:eastAsia="仿宋" w:cs="仿宋"/>
          <w:color w:val="1F497D"/>
          <w:kern w:val="0"/>
          <w:sz w:val="32"/>
          <w:szCs w:val="32"/>
        </w:rPr>
      </w:pPr>
      <w:bookmarkStart w:id="106" w:name="_Toc3970"/>
      <w:r>
        <w:rPr>
          <w:rFonts w:hint="eastAsia" w:ascii="仿宋" w:hAnsi="仿宋" w:eastAsia="仿宋" w:cs="仿宋"/>
          <w:color w:val="1F497D"/>
          <w:kern w:val="0"/>
          <w:sz w:val="32"/>
          <w:szCs w:val="32"/>
        </w:rPr>
        <w:br w:type="page"/>
      </w:r>
    </w:p>
    <w:p>
      <w:pPr>
        <w:pStyle w:val="3"/>
        <w:keepNext/>
        <w:keepLines/>
        <w:pageBreakBefore w:val="0"/>
        <w:widowControl w:val="0"/>
        <w:numPr>
          <w:ilvl w:val="0"/>
          <w:numId w:val="1"/>
        </w:numPr>
        <w:kinsoku/>
        <w:wordWrap/>
        <w:overflowPunct/>
        <w:topLinePunct w:val="0"/>
        <w:autoSpaceDE/>
        <w:autoSpaceDN/>
        <w:bidi w:val="0"/>
        <w:adjustRightInd/>
        <w:snapToGrid/>
        <w:spacing w:beforeLines="100" w:afterLines="100" w:line="240" w:lineRule="auto"/>
        <w:jc w:val="center"/>
        <w:textAlignment w:val="auto"/>
        <w:rPr>
          <w:rFonts w:hint="eastAsia" w:ascii="仿宋" w:hAnsi="仿宋" w:eastAsia="仿宋" w:cs="仿宋"/>
          <w:color w:val="1F497D"/>
          <w:kern w:val="0"/>
          <w:sz w:val="32"/>
          <w:szCs w:val="32"/>
        </w:rPr>
      </w:pPr>
      <w:r>
        <w:rPr>
          <w:rFonts w:hint="eastAsia" w:ascii="仿宋" w:hAnsi="仿宋" w:eastAsia="仿宋" w:cs="仿宋"/>
          <w:color w:val="1F497D"/>
          <w:kern w:val="0"/>
          <w:sz w:val="32"/>
          <w:szCs w:val="32"/>
          <w:lang w:val="en-US" w:eastAsia="zh-CN"/>
        </w:rPr>
        <w:t xml:space="preserve"> </w:t>
      </w:r>
      <w:r>
        <w:rPr>
          <w:rFonts w:hint="eastAsia" w:ascii="仿宋" w:hAnsi="仿宋" w:eastAsia="仿宋" w:cs="仿宋"/>
          <w:color w:val="1F497D"/>
          <w:kern w:val="0"/>
          <w:sz w:val="32"/>
          <w:szCs w:val="32"/>
        </w:rPr>
        <w:t>发展趋势与展望</w:t>
      </w:r>
      <w:bookmarkEnd w:id="105"/>
      <w:bookmarkEnd w:id="106"/>
      <w:bookmarkStart w:id="107" w:name="_Toc19002"/>
      <w:bookmarkStart w:id="108" w:name="_Toc437501625"/>
      <w:bookmarkStart w:id="109" w:name="_Toc496819340"/>
    </w:p>
    <w:p>
      <w:pPr>
        <w:pStyle w:val="17"/>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240" w:lineRule="auto"/>
        <w:ind w:left="0" w:firstLine="0"/>
        <w:textAlignment w:val="auto"/>
        <w:outlineLvl w:val="1"/>
        <w:rPr>
          <w:rFonts w:hint="eastAsia" w:ascii="仿宋" w:hAnsi="仿宋" w:eastAsia="仿宋" w:cs="仿宋"/>
          <w:b/>
          <w:bCs/>
          <w:color w:val="1F497D"/>
          <w:kern w:val="2"/>
          <w:sz w:val="30"/>
          <w:szCs w:val="30"/>
          <w:lang w:val="en-US" w:eastAsia="zh-CN" w:bidi="ar-SA"/>
        </w:rPr>
      </w:pPr>
      <w:bookmarkStart w:id="110" w:name="_Toc21147"/>
      <w:r>
        <w:rPr>
          <w:rFonts w:hint="eastAsia" w:ascii="仿宋" w:hAnsi="仿宋" w:eastAsia="仿宋" w:cs="仿宋"/>
          <w:b/>
          <w:bCs/>
          <w:color w:val="1F497D"/>
          <w:kern w:val="2"/>
          <w:sz w:val="30"/>
          <w:szCs w:val="30"/>
          <w:lang w:val="en-US" w:eastAsia="zh-CN" w:bidi="ar-SA"/>
        </w:rPr>
        <w:t>6.1</w:t>
      </w:r>
      <w:bookmarkEnd w:id="107"/>
      <w:bookmarkEnd w:id="108"/>
      <w:bookmarkEnd w:id="109"/>
      <w:bookmarkStart w:id="111" w:name="_Toc28556"/>
      <w:bookmarkStart w:id="112" w:name="_Toc437501627"/>
      <w:r>
        <w:rPr>
          <w:rFonts w:hint="eastAsia" w:ascii="仿宋" w:hAnsi="仿宋" w:eastAsia="仿宋" w:cs="仿宋"/>
          <w:b/>
          <w:bCs/>
          <w:color w:val="1F497D"/>
          <w:kern w:val="2"/>
          <w:sz w:val="30"/>
          <w:szCs w:val="30"/>
          <w:lang w:val="en-US" w:eastAsia="zh-CN" w:bidi="ar-SA"/>
        </w:rPr>
        <w:t xml:space="preserve"> 签约单位性质、行业分布逐步多元化</w:t>
      </w:r>
      <w:bookmarkEnd w:id="110"/>
      <w:bookmarkEnd w:id="111"/>
    </w:p>
    <w:bookmarkEnd w:id="112"/>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从近</w:t>
      </w:r>
      <w:r>
        <w:rPr>
          <w:rFonts w:hint="eastAsia" w:ascii="仿宋" w:hAnsi="仿宋" w:eastAsia="仿宋" w:cs="仿宋"/>
          <w:color w:val="000000"/>
          <w:sz w:val="28"/>
          <w:szCs w:val="28"/>
          <w:lang w:eastAsia="zh-CN"/>
        </w:rPr>
        <w:t>几</w:t>
      </w:r>
      <w:r>
        <w:rPr>
          <w:rFonts w:hint="eastAsia" w:ascii="仿宋" w:hAnsi="仿宋" w:eastAsia="仿宋" w:cs="仿宋"/>
          <w:color w:val="000000"/>
          <w:sz w:val="28"/>
          <w:szCs w:val="28"/>
        </w:rPr>
        <w:t>年毕业生签约单位性质、行业分布变化趋势来看，我校毕业生主要集中在金融业、上市公司、大中型国有企业就业优势突出的基础上，赴</w:t>
      </w:r>
      <w:r>
        <w:rPr>
          <w:rFonts w:hint="eastAsia" w:ascii="仿宋" w:hAnsi="仿宋" w:eastAsia="仿宋" w:cs="仿宋"/>
          <w:color w:val="000000"/>
          <w:kern w:val="0"/>
          <w:sz w:val="28"/>
          <w:szCs w:val="28"/>
        </w:rPr>
        <w:t>民营企业、高新技术企业、制造业、</w:t>
      </w:r>
      <w:r>
        <w:rPr>
          <w:rFonts w:hint="eastAsia" w:ascii="仿宋" w:hAnsi="仿宋" w:eastAsia="仿宋" w:cs="仿宋"/>
          <w:color w:val="000000"/>
          <w:sz w:val="28"/>
          <w:szCs w:val="28"/>
        </w:rPr>
        <w:t>教育培训机构、社会</w:t>
      </w:r>
      <w:r>
        <w:rPr>
          <w:rFonts w:hint="eastAsia" w:ascii="仿宋" w:hAnsi="仿宋" w:eastAsia="仿宋" w:cs="仿宋"/>
          <w:color w:val="000000"/>
          <w:kern w:val="0"/>
          <w:sz w:val="28"/>
          <w:szCs w:val="28"/>
        </w:rPr>
        <w:t>服务性行业和文化创意等中小微企业</w:t>
      </w:r>
      <w:r>
        <w:rPr>
          <w:rFonts w:hint="eastAsia" w:ascii="仿宋" w:hAnsi="仿宋" w:eastAsia="仿宋" w:cs="仿宋"/>
          <w:color w:val="000000"/>
          <w:sz w:val="28"/>
          <w:szCs w:val="28"/>
        </w:rPr>
        <w:t>就业</w:t>
      </w:r>
      <w:r>
        <w:rPr>
          <w:rFonts w:hint="eastAsia" w:ascii="仿宋" w:hAnsi="仿宋" w:eastAsia="仿宋" w:cs="仿宋"/>
          <w:color w:val="000000"/>
          <w:sz w:val="28"/>
          <w:szCs w:val="28"/>
          <w:lang w:eastAsia="zh-CN"/>
        </w:rPr>
        <w:t>人数</w:t>
      </w:r>
      <w:r>
        <w:rPr>
          <w:rFonts w:hint="eastAsia" w:ascii="仿宋" w:hAnsi="仿宋" w:eastAsia="仿宋" w:cs="仿宋"/>
          <w:color w:val="000000"/>
          <w:sz w:val="28"/>
          <w:szCs w:val="28"/>
        </w:rPr>
        <w:t>比例亦在</w:t>
      </w:r>
      <w:r>
        <w:rPr>
          <w:rFonts w:hint="eastAsia" w:ascii="仿宋" w:hAnsi="仿宋" w:eastAsia="仿宋" w:cs="仿宋"/>
          <w:color w:val="000000"/>
          <w:sz w:val="28"/>
          <w:szCs w:val="28"/>
          <w:lang w:eastAsia="zh-CN"/>
        </w:rPr>
        <w:t>不断</w:t>
      </w:r>
      <w:r>
        <w:rPr>
          <w:rFonts w:hint="eastAsia" w:ascii="仿宋" w:hAnsi="仿宋" w:eastAsia="仿宋" w:cs="仿宋"/>
          <w:color w:val="000000"/>
          <w:sz w:val="28"/>
          <w:szCs w:val="28"/>
        </w:rPr>
        <w:t>增加，</w:t>
      </w:r>
      <w:r>
        <w:rPr>
          <w:rFonts w:hint="eastAsia" w:ascii="仿宋" w:hAnsi="仿宋" w:eastAsia="仿宋" w:cs="仿宋"/>
          <w:color w:val="000000"/>
          <w:kern w:val="0"/>
          <w:sz w:val="28"/>
          <w:szCs w:val="28"/>
        </w:rPr>
        <w:t>发展逐步多元化。</w:t>
      </w:r>
      <w:r>
        <w:rPr>
          <w:rFonts w:hint="eastAsia" w:ascii="仿宋" w:hAnsi="仿宋" w:eastAsia="仿宋" w:cs="仿宋"/>
          <w:color w:val="000000"/>
          <w:sz w:val="28"/>
          <w:szCs w:val="28"/>
        </w:rPr>
        <w:t>具体情况详见图6-1</w:t>
      </w:r>
    </w:p>
    <w:p>
      <w:pPr>
        <w:ind w:firstLine="1506" w:firstLineChars="500"/>
        <w:rPr>
          <w:rFonts w:hint="eastAsia" w:ascii="仿宋" w:hAnsi="仿宋" w:eastAsia="仿宋" w:cs="仿宋"/>
          <w:b/>
          <w:sz w:val="30"/>
          <w:szCs w:val="30"/>
        </w:rPr>
      </w:pPr>
      <w:r>
        <w:rPr>
          <w:rFonts w:hint="eastAsia" w:ascii="仿宋" w:hAnsi="仿宋" w:eastAsia="仿宋" w:cs="仿宋"/>
          <w:b/>
          <w:sz w:val="30"/>
          <w:szCs w:val="30"/>
        </w:rPr>
        <w:t>图6-1  20</w:t>
      </w:r>
      <w:r>
        <w:rPr>
          <w:rFonts w:hint="eastAsia" w:ascii="仿宋" w:hAnsi="仿宋" w:eastAsia="仿宋" w:cs="仿宋"/>
          <w:b/>
          <w:sz w:val="30"/>
          <w:szCs w:val="30"/>
          <w:lang w:val="en-US" w:eastAsia="zh-CN"/>
        </w:rPr>
        <w:t>20</w:t>
      </w:r>
      <w:r>
        <w:rPr>
          <w:rFonts w:hint="eastAsia" w:ascii="仿宋" w:hAnsi="仿宋" w:eastAsia="仿宋" w:cs="仿宋"/>
          <w:b/>
          <w:sz w:val="30"/>
          <w:szCs w:val="30"/>
        </w:rPr>
        <w:t>届毕业生就业单位行业分布图</w:t>
      </w:r>
    </w:p>
    <w:p>
      <w:pPr>
        <w:pStyle w:val="2"/>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仿宋" w:hAnsi="仿宋" w:eastAsia="仿宋" w:cs="仿宋"/>
        </w:rPr>
      </w:pPr>
      <w:r>
        <w:rPr>
          <w:rFonts w:hint="eastAsia" w:ascii="仿宋" w:hAnsi="仿宋" w:eastAsia="仿宋" w:cs="仿宋"/>
        </w:rPr>
        <w:drawing>
          <wp:inline distT="0" distB="0" distL="114300" distR="114300">
            <wp:extent cx="5708650" cy="3636645"/>
            <wp:effectExtent l="0" t="0" r="6350" b="19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24"/>
                    <a:stretch>
                      <a:fillRect/>
                    </a:stretch>
                  </pic:blipFill>
                  <pic:spPr>
                    <a:xfrm>
                      <a:off x="0" y="0"/>
                      <a:ext cx="5708650" cy="3636645"/>
                    </a:xfrm>
                    <a:prstGeom prst="rect">
                      <a:avLst/>
                    </a:prstGeom>
                    <a:noFill/>
                    <a:ln>
                      <a:noFill/>
                    </a:ln>
                  </pic:spPr>
                </pic:pic>
              </a:graphicData>
            </a:graphic>
          </wp:inline>
        </w:drawing>
      </w:r>
    </w:p>
    <w:p>
      <w:pPr>
        <w:pStyle w:val="17"/>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240" w:lineRule="auto"/>
        <w:ind w:left="0" w:firstLine="0"/>
        <w:textAlignment w:val="auto"/>
        <w:outlineLvl w:val="1"/>
        <w:rPr>
          <w:rFonts w:hint="eastAsia" w:ascii="仿宋" w:hAnsi="仿宋" w:eastAsia="仿宋" w:cs="仿宋"/>
          <w:b/>
          <w:bCs/>
          <w:color w:val="1F497D"/>
          <w:kern w:val="2"/>
          <w:sz w:val="30"/>
          <w:szCs w:val="30"/>
          <w:lang w:val="en-US" w:eastAsia="zh-CN" w:bidi="ar-SA"/>
        </w:rPr>
      </w:pPr>
      <w:bookmarkStart w:id="113" w:name="_Toc3077"/>
      <w:bookmarkStart w:id="114" w:name="_Toc21658"/>
      <w:bookmarkStart w:id="115" w:name="_Toc437501618"/>
      <w:bookmarkStart w:id="116" w:name="_Toc437501616"/>
      <w:bookmarkStart w:id="117" w:name="_Toc437032039"/>
      <w:r>
        <w:rPr>
          <w:rFonts w:hint="eastAsia" w:ascii="仿宋" w:hAnsi="仿宋" w:eastAsia="仿宋" w:cs="仿宋"/>
          <w:b/>
          <w:bCs/>
          <w:color w:val="1F497D"/>
          <w:kern w:val="2"/>
          <w:sz w:val="30"/>
          <w:szCs w:val="30"/>
          <w:lang w:val="en-US" w:eastAsia="zh-CN" w:bidi="ar-SA"/>
        </w:rPr>
        <w:t>6.2 就业地域日趋广泛</w:t>
      </w:r>
      <w:bookmarkEnd w:id="113"/>
      <w:bookmarkEnd w:id="114"/>
    </w:p>
    <w:p>
      <w:pPr>
        <w:pStyle w:val="66"/>
        <w:keepNext w:val="0"/>
        <w:keepLines w:val="0"/>
        <w:pageBreakBefore w:val="0"/>
        <w:widowControl/>
        <w:kinsoku/>
        <w:wordWrap/>
        <w:overflowPunct/>
        <w:topLinePunct w:val="0"/>
        <w:autoSpaceDE/>
        <w:autoSpaceDN/>
        <w:bidi w:val="0"/>
        <w:adjustRightInd/>
        <w:snapToGrid/>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从我校20</w:t>
      </w: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届毕业生就业地域流向分布来看，毕业生就业地区覆盖全国</w:t>
      </w:r>
      <w:r>
        <w:rPr>
          <w:rFonts w:hint="eastAsia" w:ascii="仿宋" w:hAnsi="仿宋" w:eastAsia="仿宋" w:cs="仿宋"/>
          <w:color w:val="000000"/>
          <w:sz w:val="28"/>
          <w:szCs w:val="28"/>
          <w:lang w:val="en-US" w:eastAsia="zh-CN"/>
        </w:rPr>
        <w:t>30</w:t>
      </w:r>
      <w:r>
        <w:rPr>
          <w:rFonts w:hint="eastAsia" w:ascii="仿宋" w:hAnsi="仿宋" w:eastAsia="仿宋" w:cs="仿宋"/>
          <w:color w:val="000000"/>
          <w:sz w:val="28"/>
          <w:szCs w:val="28"/>
        </w:rPr>
        <w:t>个省市、自治区，由原来的相对集中</w:t>
      </w:r>
      <w:bookmarkEnd w:id="115"/>
      <w:r>
        <w:rPr>
          <w:rFonts w:hint="eastAsia" w:ascii="仿宋" w:hAnsi="仿宋" w:eastAsia="仿宋" w:cs="仿宋"/>
          <w:color w:val="000000"/>
          <w:sz w:val="28"/>
          <w:szCs w:val="28"/>
        </w:rPr>
        <w:t>在湖南地区，逐步形成了以长株潭地区为中心，向珠三角、长三角等沿海地区及中西部地区辐射的就业格局。这主要与生源结构和区域经济发展水平紧密相关，也进一步体现了学校</w:t>
      </w:r>
      <w:r>
        <w:rPr>
          <w:rFonts w:hint="eastAsia" w:ascii="仿宋" w:hAnsi="仿宋" w:eastAsia="仿宋" w:cs="仿宋"/>
          <w:color w:val="000000"/>
          <w:sz w:val="28"/>
          <w:szCs w:val="28"/>
          <w:lang w:eastAsia="zh-CN"/>
        </w:rPr>
        <w:t>办学</w:t>
      </w:r>
      <w:r>
        <w:rPr>
          <w:rFonts w:hint="eastAsia" w:ascii="仿宋" w:hAnsi="仿宋" w:eastAsia="仿宋" w:cs="仿宋"/>
          <w:color w:val="000000"/>
          <w:sz w:val="28"/>
          <w:szCs w:val="28"/>
        </w:rPr>
        <w:t>立足湖南，服务全国的定位，具体情况详见图6-2。</w:t>
      </w:r>
    </w:p>
    <w:p>
      <w:pPr>
        <w:jc w:val="center"/>
        <w:rPr>
          <w:rFonts w:hint="eastAsia" w:ascii="仿宋" w:hAnsi="仿宋" w:eastAsia="仿宋" w:cs="仿宋"/>
          <w:b/>
          <w:sz w:val="30"/>
          <w:szCs w:val="30"/>
        </w:rPr>
      </w:pPr>
      <w:r>
        <w:rPr>
          <w:rFonts w:hint="eastAsia" w:ascii="仿宋" w:hAnsi="仿宋" w:eastAsia="仿宋" w:cs="仿宋"/>
          <w:b/>
          <w:sz w:val="30"/>
          <w:szCs w:val="30"/>
        </w:rPr>
        <w:t>图6-2   20</w:t>
      </w:r>
      <w:r>
        <w:rPr>
          <w:rFonts w:hint="eastAsia" w:ascii="仿宋" w:hAnsi="仿宋" w:eastAsia="仿宋" w:cs="仿宋"/>
          <w:b/>
          <w:sz w:val="30"/>
          <w:szCs w:val="30"/>
          <w:lang w:val="en-US" w:eastAsia="zh-CN"/>
        </w:rPr>
        <w:t>20</w:t>
      </w:r>
      <w:r>
        <w:rPr>
          <w:rFonts w:hint="eastAsia" w:ascii="仿宋" w:hAnsi="仿宋" w:eastAsia="仿宋" w:cs="仿宋"/>
          <w:b/>
          <w:sz w:val="30"/>
          <w:szCs w:val="30"/>
        </w:rPr>
        <w:t>届毕业生就业单位地区人数分布图</w:t>
      </w:r>
    </w:p>
    <w:p>
      <w:pPr>
        <w:pStyle w:val="2"/>
        <w:ind w:left="0" w:leftChars="0" w:firstLine="0" w:firstLineChars="0"/>
        <w:jc w:val="center"/>
        <w:rPr>
          <w:rFonts w:hint="eastAsia" w:ascii="仿宋" w:hAnsi="仿宋" w:eastAsia="仿宋" w:cs="仿宋"/>
          <w:b/>
          <w:color w:val="0070C0"/>
          <w:kern w:val="0"/>
          <w:sz w:val="28"/>
          <w:szCs w:val="28"/>
        </w:rPr>
      </w:pPr>
      <w:bookmarkStart w:id="118" w:name="_Toc2045"/>
      <w:r>
        <w:rPr>
          <w:rFonts w:hint="eastAsia" w:ascii="仿宋" w:hAnsi="仿宋" w:eastAsia="仿宋" w:cs="仿宋"/>
        </w:rPr>
        <w:drawing>
          <wp:inline distT="0" distB="0" distL="114300" distR="114300">
            <wp:extent cx="5322570" cy="3091180"/>
            <wp:effectExtent l="0" t="0" r="11430" b="1397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25"/>
                    <a:stretch>
                      <a:fillRect/>
                    </a:stretch>
                  </pic:blipFill>
                  <pic:spPr>
                    <a:xfrm>
                      <a:off x="0" y="0"/>
                      <a:ext cx="5322570" cy="3091180"/>
                    </a:xfrm>
                    <a:prstGeom prst="rect">
                      <a:avLst/>
                    </a:prstGeom>
                    <a:noFill/>
                    <a:ln>
                      <a:noFill/>
                    </a:ln>
                  </pic:spPr>
                </pic:pic>
              </a:graphicData>
            </a:graphic>
          </wp:inline>
        </w:drawing>
      </w:r>
    </w:p>
    <w:p>
      <w:pPr>
        <w:pStyle w:val="17"/>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240" w:lineRule="auto"/>
        <w:ind w:left="0" w:firstLine="0"/>
        <w:textAlignment w:val="auto"/>
        <w:outlineLvl w:val="1"/>
        <w:rPr>
          <w:rFonts w:hint="eastAsia" w:ascii="仿宋" w:hAnsi="仿宋" w:eastAsia="仿宋" w:cs="仿宋"/>
          <w:b/>
          <w:bCs/>
          <w:color w:val="1F497D"/>
          <w:kern w:val="2"/>
          <w:sz w:val="30"/>
          <w:szCs w:val="30"/>
          <w:lang w:val="en-US" w:eastAsia="zh-CN" w:bidi="ar-SA"/>
        </w:rPr>
      </w:pPr>
      <w:bookmarkStart w:id="119" w:name="_Toc24860"/>
      <w:r>
        <w:rPr>
          <w:rFonts w:hint="eastAsia" w:ascii="仿宋" w:hAnsi="仿宋" w:eastAsia="仿宋" w:cs="仿宋"/>
          <w:b/>
          <w:bCs/>
          <w:color w:val="1F497D"/>
          <w:kern w:val="2"/>
          <w:sz w:val="30"/>
          <w:szCs w:val="30"/>
          <w:lang w:val="en-US" w:eastAsia="zh-CN" w:bidi="ar-SA"/>
        </w:rPr>
        <w:t>6.3 升学、出国继续深造率稳步提升</w:t>
      </w:r>
      <w:bookmarkEnd w:id="118"/>
      <w:bookmarkEnd w:id="119"/>
    </w:p>
    <w:p>
      <w:pPr>
        <w:pStyle w:val="66"/>
        <w:keepNext w:val="0"/>
        <w:keepLines w:val="0"/>
        <w:pageBreakBefore w:val="0"/>
        <w:widowControl/>
        <w:kinsoku/>
        <w:wordWrap/>
        <w:overflowPunct/>
        <w:topLinePunct w:val="0"/>
        <w:autoSpaceDE/>
        <w:autoSpaceDN/>
        <w:bidi w:val="0"/>
        <w:adjustRightInd/>
        <w:snapToGrid/>
        <w:ind w:firstLine="560" w:firstLineChars="200"/>
        <w:textAlignment w:val="auto"/>
        <w:rPr>
          <w:rFonts w:hint="eastAsia" w:ascii="仿宋" w:hAnsi="仿宋" w:eastAsia="仿宋" w:cs="仿宋"/>
          <w:color w:val="000000"/>
          <w:sz w:val="28"/>
          <w:szCs w:val="28"/>
        </w:rPr>
      </w:pPr>
      <w:bookmarkStart w:id="120" w:name="_Toc437274202"/>
      <w:bookmarkStart w:id="121" w:name="_Toc437501626"/>
      <w:bookmarkStart w:id="122" w:name="_Toc28255"/>
      <w:bookmarkStart w:id="123" w:name="_Toc22501"/>
      <w:r>
        <w:rPr>
          <w:rFonts w:hint="eastAsia" w:ascii="仿宋" w:hAnsi="仿宋" w:eastAsia="仿宋" w:cs="仿宋"/>
          <w:color w:val="000000"/>
          <w:sz w:val="28"/>
          <w:szCs w:val="28"/>
        </w:rPr>
        <w:t>近年来，学校毕业生继续深造总人数和继续深造比例逐年增加，从我校毕业生继续深造去向可以看出，毕业生出国</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境</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去向主要包括英国、法国、澳大利亚、韩国和日本等国家和地区。升学高校质量也稳步提升。</w:t>
      </w:r>
      <w:bookmarkEnd w:id="120"/>
      <w:bookmarkEnd w:id="121"/>
      <w:r>
        <w:rPr>
          <w:rFonts w:hint="eastAsia" w:ascii="仿宋" w:hAnsi="仿宋" w:eastAsia="仿宋" w:cs="仿宋"/>
          <w:color w:val="000000"/>
          <w:sz w:val="28"/>
          <w:szCs w:val="28"/>
        </w:rPr>
        <w:t>具体情况详见图6-3。</w:t>
      </w:r>
    </w:p>
    <w:p>
      <w:pPr>
        <w:rPr>
          <w:rFonts w:hint="eastAsia" w:ascii="仿宋" w:hAnsi="仿宋" w:eastAsia="仿宋" w:cs="仿宋"/>
          <w:b/>
          <w:kern w:val="0"/>
          <w:sz w:val="30"/>
          <w:szCs w:val="30"/>
        </w:rPr>
      </w:pPr>
      <w:r>
        <w:rPr>
          <w:rFonts w:hint="eastAsia" w:ascii="仿宋" w:hAnsi="仿宋" w:eastAsia="仿宋" w:cs="仿宋"/>
          <w:b/>
          <w:kern w:val="0"/>
          <w:sz w:val="30"/>
          <w:szCs w:val="30"/>
        </w:rPr>
        <w:br w:type="page"/>
      </w:r>
    </w:p>
    <w:p>
      <w:pPr>
        <w:ind w:firstLine="1958" w:firstLineChars="650"/>
        <w:rPr>
          <w:rFonts w:hint="eastAsia" w:ascii="仿宋" w:hAnsi="仿宋" w:eastAsia="仿宋" w:cs="仿宋"/>
          <w:b/>
          <w:kern w:val="0"/>
          <w:sz w:val="30"/>
          <w:szCs w:val="30"/>
        </w:rPr>
      </w:pPr>
      <w:r>
        <w:rPr>
          <w:rFonts w:hint="eastAsia" w:ascii="仿宋" w:hAnsi="仿宋" w:eastAsia="仿宋" w:cs="仿宋"/>
          <w:b/>
          <w:kern w:val="0"/>
          <w:sz w:val="30"/>
          <w:szCs w:val="30"/>
        </w:rPr>
        <w:t>图6-3  近三年毕业生升学比例对比图</w:t>
      </w:r>
    </w:p>
    <w:p>
      <w:pPr>
        <w:pStyle w:val="2"/>
        <w:ind w:left="0" w:leftChars="0" w:firstLine="0" w:firstLineChars="0"/>
        <w:jc w:val="center"/>
        <w:rPr>
          <w:rFonts w:hint="eastAsia" w:ascii="仿宋" w:hAnsi="仿宋" w:eastAsia="仿宋" w:cs="仿宋"/>
        </w:rPr>
      </w:pPr>
      <w:r>
        <w:rPr>
          <w:rFonts w:hint="eastAsia" w:ascii="仿宋" w:hAnsi="仿宋" w:eastAsia="仿宋" w:cs="仿宋"/>
        </w:rPr>
        <w:drawing>
          <wp:inline distT="0" distB="0" distL="114300" distR="114300">
            <wp:extent cx="5109845" cy="2205355"/>
            <wp:effectExtent l="0" t="0" r="14605" b="4445"/>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26"/>
                    <a:stretch>
                      <a:fillRect/>
                    </a:stretch>
                  </pic:blipFill>
                  <pic:spPr>
                    <a:xfrm>
                      <a:off x="0" y="0"/>
                      <a:ext cx="5109845" cy="2205355"/>
                    </a:xfrm>
                    <a:prstGeom prst="rect">
                      <a:avLst/>
                    </a:prstGeom>
                    <a:noFill/>
                    <a:ln>
                      <a:noFill/>
                    </a:ln>
                  </pic:spPr>
                </pic:pic>
              </a:graphicData>
            </a:graphic>
          </wp:inline>
        </w:drawing>
      </w:r>
    </w:p>
    <w:bookmarkEnd w:id="122"/>
    <w:bookmarkEnd w:id="123"/>
    <w:p>
      <w:pPr>
        <w:pStyle w:val="17"/>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240" w:lineRule="auto"/>
        <w:ind w:left="0" w:firstLine="0"/>
        <w:textAlignment w:val="auto"/>
        <w:outlineLvl w:val="1"/>
        <w:rPr>
          <w:rFonts w:hint="eastAsia" w:ascii="仿宋" w:hAnsi="仿宋" w:eastAsia="仿宋" w:cs="仿宋"/>
          <w:b/>
          <w:bCs/>
          <w:color w:val="1F497D"/>
          <w:kern w:val="2"/>
          <w:sz w:val="30"/>
          <w:szCs w:val="30"/>
          <w:lang w:val="en-US" w:eastAsia="zh-CN" w:bidi="ar-SA"/>
        </w:rPr>
      </w:pPr>
      <w:bookmarkStart w:id="124" w:name="_Toc391"/>
      <w:r>
        <w:rPr>
          <w:rFonts w:hint="eastAsia" w:ascii="仿宋" w:hAnsi="仿宋" w:eastAsia="仿宋" w:cs="仿宋"/>
          <w:b/>
          <w:bCs/>
          <w:color w:val="1F497D"/>
          <w:kern w:val="2"/>
          <w:sz w:val="30"/>
          <w:szCs w:val="30"/>
          <w:lang w:val="en-US" w:eastAsia="zh-CN" w:bidi="ar-SA"/>
        </w:rPr>
        <w:t>6.4 创新创业平台引领作用成效显著</w:t>
      </w:r>
      <w:bookmarkEnd w:id="124"/>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color w:val="000000" w:themeColor="text1"/>
          <w:sz w:val="28"/>
          <w:szCs w:val="28"/>
          <w:lang w:val="en-US" w:eastAsia="zh-CN"/>
          <w14:textFill>
            <w14:solidFill>
              <w14:schemeClr w14:val="tx1"/>
            </w14:solidFill>
          </w14:textFill>
        </w:rPr>
      </w:pPr>
      <w:bookmarkStart w:id="125" w:name="_Toc1822"/>
      <w:bookmarkStart w:id="126" w:name="_Toc18717"/>
      <w:r>
        <w:rPr>
          <w:rFonts w:hint="eastAsia" w:ascii="仿宋" w:hAnsi="仿宋" w:eastAsia="仿宋" w:cs="仿宋"/>
          <w:b w:val="0"/>
          <w:bCs w:val="0"/>
          <w:color w:val="000000" w:themeColor="text1"/>
          <w:sz w:val="28"/>
          <w:szCs w:val="28"/>
          <w14:textFill>
            <w14:solidFill>
              <w14:schemeClr w14:val="tx1"/>
            </w14:solidFill>
          </w14:textFill>
        </w:rPr>
        <w:t>近年来，学校加强对省、市、区创新创业示范平台的联系和对接，积极申报省级创新创业教育中心和基地。2018年被湖南省科技厅认定为“省级众创空间”，2019年被长沙市人社局认定为“市级创业孵化基地”，</w:t>
      </w:r>
      <w:r>
        <w:rPr>
          <w:rFonts w:hint="eastAsia" w:ascii="仿宋" w:hAnsi="仿宋" w:eastAsia="仿宋" w:cs="仿宋"/>
          <w:b w:val="0"/>
          <w:bCs w:val="0"/>
          <w:color w:val="000000" w:themeColor="text1"/>
          <w:sz w:val="28"/>
          <w:szCs w:val="28"/>
          <w:lang w:val="en-US" w:eastAsia="zh-CN"/>
          <w14:textFill>
            <w14:solidFill>
              <w14:schemeClr w14:val="tx1"/>
            </w14:solidFill>
          </w14:textFill>
        </w:rPr>
        <w:t>2020年，学校成功获评“第二轮第二批湖南省高校大学生创新创业孵化示范基地”</w:t>
      </w:r>
      <w:r>
        <w:rPr>
          <w:rFonts w:hint="eastAsia" w:ascii="仿宋" w:hAnsi="仿宋" w:eastAsia="仿宋" w:cs="仿宋"/>
          <w:b w:val="0"/>
          <w:bCs w:val="0"/>
          <w:color w:val="000000" w:themeColor="text1"/>
          <w:sz w:val="28"/>
          <w:szCs w:val="28"/>
          <w14:textFill>
            <w14:solidFill>
              <w14:schemeClr w14:val="tx1"/>
            </w14:solidFill>
          </w14:textFill>
        </w:rPr>
        <w:t>。</w:t>
      </w:r>
      <w:bookmarkEnd w:id="125"/>
      <w:r>
        <w:rPr>
          <w:rFonts w:hint="eastAsia" w:ascii="仿宋" w:hAnsi="仿宋" w:eastAsia="仿宋" w:cs="仿宋"/>
          <w:b w:val="0"/>
          <w:bCs w:val="0"/>
          <w:color w:val="000000" w:themeColor="text1"/>
          <w:sz w:val="28"/>
          <w:szCs w:val="28"/>
          <w14:textFill>
            <w14:solidFill>
              <w14:schemeClr w14:val="tx1"/>
            </w14:solidFill>
          </w14:textFill>
        </w:rPr>
        <w:t>2019-2020年，在第四届全国财经院校创新创业大赛中，获国家级奖项1项；第五届“互联网＋”大学生创新创业大赛中，获省级奖1项；第十三届“挑战杯”湖南省大学生课外学术科技作品竞赛，获省级二等奖2项，三等奖7项，优秀组织奖1项；第九届“挑战杯”湖南省大学生创业计划竞赛，获省级二等奖2项，三等奖6项。2019-2020年立项国家级大学生创新创业训练计划项目17项，省级立项92项，校级90项目。2019-2020年大学生创新创业训练计划项目结项75项，在国内外刊物上发表论文70余篇、获计算机软件著作权1项。</w:t>
      </w:r>
      <w:bookmarkEnd w:id="116"/>
      <w:bookmarkEnd w:id="117"/>
      <w:bookmarkEnd w:id="126"/>
      <w:r>
        <w:rPr>
          <w:rFonts w:hint="eastAsia" w:ascii="仿宋" w:hAnsi="仿宋" w:eastAsia="仿宋" w:cs="仿宋"/>
          <w:b w:val="0"/>
          <w:bCs w:val="0"/>
          <w:color w:val="000000" w:themeColor="text1"/>
          <w:sz w:val="28"/>
          <w:szCs w:val="28"/>
          <w:lang w:val="en-US" w:eastAsia="zh-CN"/>
          <w14:textFill>
            <w14:solidFill>
              <w14:schemeClr w14:val="tx1"/>
            </w14:solidFill>
          </w14:textFill>
        </w:rPr>
        <w:t>2020年11月，学校成功获评“第二轮第二批湖南省高校大学生创新创业孵化示范基地”。</w:t>
      </w:r>
    </w:p>
    <w:sectPr>
      <w:footerReference r:id="rId7" w:type="default"/>
      <w:pgSz w:w="11906" w:h="16838"/>
      <w:pgMar w:top="1701"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Helvetica">
    <w:altName w:val="Arial"/>
    <w:panose1 w:val="020B0604020202020204"/>
    <w:charset w:val="00"/>
    <w:family w:val="swiss"/>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default" w:ascii="Times New Roman" w:hAnsi="Times New Roman" w:eastAsia="宋体" w:cs="Times New Roman"/>
                              <w:sz w:val="20"/>
                              <w:szCs w:val="20"/>
                              <w:lang w:eastAsia="zh-CN"/>
                            </w:rPr>
                          </w:pPr>
                          <w:r>
                            <w:rPr>
                              <w:rFonts w:hint="default" w:ascii="Times New Roman" w:hAnsi="Times New Roman" w:cs="Times New Roman"/>
                              <w:sz w:val="20"/>
                              <w:szCs w:val="20"/>
                              <w:lang w:eastAsia="zh-CN"/>
                            </w:rPr>
                            <w:fldChar w:fldCharType="begin"/>
                          </w:r>
                          <w:r>
                            <w:rPr>
                              <w:rFonts w:hint="default" w:ascii="Times New Roman" w:hAnsi="Times New Roman" w:cs="Times New Roman"/>
                              <w:sz w:val="20"/>
                              <w:szCs w:val="20"/>
                              <w:lang w:eastAsia="zh-CN"/>
                            </w:rPr>
                            <w:instrText xml:space="preserve"> PAGE  \* MERGEFORMAT </w:instrText>
                          </w:r>
                          <w:r>
                            <w:rPr>
                              <w:rFonts w:hint="default" w:ascii="Times New Roman" w:hAnsi="Times New Roman" w:cs="Times New Roman"/>
                              <w:sz w:val="20"/>
                              <w:szCs w:val="20"/>
                              <w:lang w:eastAsia="zh-CN"/>
                            </w:rPr>
                            <w:fldChar w:fldCharType="separate"/>
                          </w:r>
                          <w:r>
                            <w:rPr>
                              <w:rFonts w:hint="default" w:ascii="Times New Roman" w:hAnsi="Times New Roman" w:cs="Times New Roman"/>
                              <w:sz w:val="20"/>
                              <w:szCs w:val="20"/>
                              <w:lang w:eastAsia="zh-CN"/>
                            </w:rPr>
                            <w:t>1</w:t>
                          </w:r>
                          <w:r>
                            <w:rPr>
                              <w:rFonts w:hint="default" w:ascii="Times New Roman" w:hAnsi="Times New Roman" w:cs="Times New Roman"/>
                              <w:sz w:val="20"/>
                              <w:szCs w:val="20"/>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pPr>
                      <w:pStyle w:val="10"/>
                      <w:rPr>
                        <w:rFonts w:hint="default" w:ascii="Times New Roman" w:hAnsi="Times New Roman" w:eastAsia="宋体" w:cs="Times New Roman"/>
                        <w:sz w:val="20"/>
                        <w:szCs w:val="20"/>
                        <w:lang w:eastAsia="zh-CN"/>
                      </w:rPr>
                    </w:pPr>
                    <w:r>
                      <w:rPr>
                        <w:rFonts w:hint="default" w:ascii="Times New Roman" w:hAnsi="Times New Roman" w:cs="Times New Roman"/>
                        <w:sz w:val="20"/>
                        <w:szCs w:val="20"/>
                        <w:lang w:eastAsia="zh-CN"/>
                      </w:rPr>
                      <w:fldChar w:fldCharType="begin"/>
                    </w:r>
                    <w:r>
                      <w:rPr>
                        <w:rFonts w:hint="default" w:ascii="Times New Roman" w:hAnsi="Times New Roman" w:cs="Times New Roman"/>
                        <w:sz w:val="20"/>
                        <w:szCs w:val="20"/>
                        <w:lang w:eastAsia="zh-CN"/>
                      </w:rPr>
                      <w:instrText xml:space="preserve"> PAGE  \* MERGEFORMAT </w:instrText>
                    </w:r>
                    <w:r>
                      <w:rPr>
                        <w:rFonts w:hint="default" w:ascii="Times New Roman" w:hAnsi="Times New Roman" w:cs="Times New Roman"/>
                        <w:sz w:val="20"/>
                        <w:szCs w:val="20"/>
                        <w:lang w:eastAsia="zh-CN"/>
                      </w:rPr>
                      <w:fldChar w:fldCharType="separate"/>
                    </w:r>
                    <w:r>
                      <w:rPr>
                        <w:rFonts w:hint="default" w:ascii="Times New Roman" w:hAnsi="Times New Roman" w:cs="Times New Roman"/>
                        <w:sz w:val="20"/>
                        <w:szCs w:val="20"/>
                        <w:lang w:eastAsia="zh-CN"/>
                      </w:rPr>
                      <w:t>1</w:t>
                    </w:r>
                    <w:r>
                      <w:rPr>
                        <w:rFonts w:hint="default" w:ascii="Times New Roman" w:hAnsi="Times New Roman" w:cs="Times New Roman"/>
                        <w:sz w:val="20"/>
                        <w:szCs w:val="20"/>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default" w:ascii="Times New Roman" w:hAnsi="Times New Roman" w:eastAsia="宋体" w:cs="Times New Roman"/>
                              <w:sz w:val="20"/>
                              <w:szCs w:val="20"/>
                              <w:lang w:eastAsia="zh-CN"/>
                            </w:rPr>
                          </w:pPr>
                          <w:r>
                            <w:rPr>
                              <w:rFonts w:hint="default" w:ascii="Times New Roman" w:hAnsi="Times New Roman" w:cs="Times New Roman"/>
                              <w:sz w:val="20"/>
                              <w:szCs w:val="20"/>
                              <w:lang w:eastAsia="zh-CN"/>
                            </w:rPr>
                            <w:fldChar w:fldCharType="begin"/>
                          </w:r>
                          <w:r>
                            <w:rPr>
                              <w:rFonts w:hint="default" w:ascii="Times New Roman" w:hAnsi="Times New Roman" w:cs="Times New Roman"/>
                              <w:sz w:val="20"/>
                              <w:szCs w:val="20"/>
                              <w:lang w:eastAsia="zh-CN"/>
                            </w:rPr>
                            <w:instrText xml:space="preserve"> PAGE  \* MERGEFORMAT </w:instrText>
                          </w:r>
                          <w:r>
                            <w:rPr>
                              <w:rFonts w:hint="default" w:ascii="Times New Roman" w:hAnsi="Times New Roman" w:cs="Times New Roman"/>
                              <w:sz w:val="20"/>
                              <w:szCs w:val="20"/>
                              <w:lang w:eastAsia="zh-CN"/>
                            </w:rPr>
                            <w:fldChar w:fldCharType="separate"/>
                          </w:r>
                          <w:r>
                            <w:rPr>
                              <w:rFonts w:hint="default" w:ascii="Times New Roman" w:hAnsi="Times New Roman" w:cs="Times New Roman"/>
                              <w:sz w:val="20"/>
                              <w:szCs w:val="20"/>
                              <w:lang w:eastAsia="zh-CN"/>
                            </w:rPr>
                            <w:t>4</w:t>
                          </w:r>
                          <w:r>
                            <w:rPr>
                              <w:rFonts w:hint="default" w:ascii="Times New Roman" w:hAnsi="Times New Roman" w:cs="Times New Roman"/>
                              <w:sz w:val="20"/>
                              <w:szCs w:val="20"/>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pPr>
                      <w:pStyle w:val="10"/>
                      <w:rPr>
                        <w:rFonts w:hint="default" w:ascii="Times New Roman" w:hAnsi="Times New Roman" w:eastAsia="宋体" w:cs="Times New Roman"/>
                        <w:sz w:val="20"/>
                        <w:szCs w:val="20"/>
                        <w:lang w:eastAsia="zh-CN"/>
                      </w:rPr>
                    </w:pPr>
                    <w:r>
                      <w:rPr>
                        <w:rFonts w:hint="default" w:ascii="Times New Roman" w:hAnsi="Times New Roman" w:cs="Times New Roman"/>
                        <w:sz w:val="20"/>
                        <w:szCs w:val="20"/>
                        <w:lang w:eastAsia="zh-CN"/>
                      </w:rPr>
                      <w:fldChar w:fldCharType="begin"/>
                    </w:r>
                    <w:r>
                      <w:rPr>
                        <w:rFonts w:hint="default" w:ascii="Times New Roman" w:hAnsi="Times New Roman" w:cs="Times New Roman"/>
                        <w:sz w:val="20"/>
                        <w:szCs w:val="20"/>
                        <w:lang w:eastAsia="zh-CN"/>
                      </w:rPr>
                      <w:instrText xml:space="preserve"> PAGE  \* MERGEFORMAT </w:instrText>
                    </w:r>
                    <w:r>
                      <w:rPr>
                        <w:rFonts w:hint="default" w:ascii="Times New Roman" w:hAnsi="Times New Roman" w:cs="Times New Roman"/>
                        <w:sz w:val="20"/>
                        <w:szCs w:val="20"/>
                        <w:lang w:eastAsia="zh-CN"/>
                      </w:rPr>
                      <w:fldChar w:fldCharType="separate"/>
                    </w:r>
                    <w:r>
                      <w:rPr>
                        <w:rFonts w:hint="default" w:ascii="Times New Roman" w:hAnsi="Times New Roman" w:cs="Times New Roman"/>
                        <w:sz w:val="20"/>
                        <w:szCs w:val="20"/>
                        <w:lang w:eastAsia="zh-CN"/>
                      </w:rPr>
                      <w:t>4</w:t>
                    </w:r>
                    <w:r>
                      <w:rPr>
                        <w:rFonts w:hint="default" w:ascii="Times New Roman" w:hAnsi="Times New Roman" w:cs="Times New Roman"/>
                        <w:sz w:val="20"/>
                        <w:szCs w:val="20"/>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snapToGrid w:val="0"/>
      <w:jc w:val="center"/>
    </w:pPr>
    <w:r>
      <w:rPr>
        <w:rFonts w:ascii="黑体" w:eastAsia="黑体"/>
        <w:b/>
        <w:sz w:val="44"/>
        <w:szCs w:val="44"/>
      </w:rPr>
      <w:object>
        <v:shape id="_x0000_i1025" o:spt="75" type="#_x0000_t75" style="height:20.85pt;width:122.15pt;" o:ole="t" filled="f" o:preferrelative="t" stroked="f" coordsize="21600,21600">
          <v:path/>
          <v:fill on="f" focussize="0,0"/>
          <v:stroke on="f"/>
          <v:imagedata r:id="rId2" o:title=""/>
          <o:lock v:ext="edit" aspectratio="t"/>
          <w10:wrap type="none"/>
          <w10:anchorlock/>
        </v:shape>
        <o:OLEObject Type="Embed" ProgID="" ShapeID="_x0000_i1025" DrawAspect="Content" ObjectID="_1468075725" r:id="rId1">
          <o:LockedField>false</o:LockedField>
        </o:OLEObject>
      </w:object>
    </w:r>
    <w:r>
      <w:rPr>
        <w:rFonts w:hint="eastAsia" w:ascii="宋体" w:hAnsi="宋体"/>
        <w:sz w:val="18"/>
        <w:szCs w:val="18"/>
      </w:rPr>
      <w:t xml:space="preserve">              </w:t>
    </w:r>
    <w:r>
      <w:rPr>
        <w:rFonts w:hint="eastAsia" w:ascii="宋体" w:hAnsi="宋体"/>
        <w:sz w:val="18"/>
        <w:szCs w:val="18"/>
        <w:lang w:val="en-US" w:eastAsia="zh-CN"/>
      </w:rPr>
      <w:t xml:space="preserve"> </w:t>
    </w:r>
    <w:r>
      <w:rPr>
        <w:rFonts w:hint="eastAsia" w:ascii="宋体" w:hAnsi="宋体"/>
        <w:sz w:val="18"/>
        <w:szCs w:val="18"/>
      </w:rPr>
      <w:t xml:space="preserve">      </w:t>
    </w:r>
    <w:r>
      <w:rPr>
        <w:rFonts w:ascii="Times New Roman" w:hAnsi="Times New Roman"/>
        <w:sz w:val="18"/>
        <w:szCs w:val="18"/>
      </w:rPr>
      <w:drawing>
        <wp:inline distT="0" distB="0" distL="114300" distR="114300">
          <wp:extent cx="2087880" cy="177165"/>
          <wp:effectExtent l="0" t="0" r="7620" b="13335"/>
          <wp:docPr id="20" name="图片 6" descr="C:\Users\Administrator\AppData\Local\Temp\ksohtml\wpsA7A3.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descr="C:\Users\Administrator\AppData\Local\Temp\ksohtml\wpsA7A3.tmp.png"/>
                  <pic:cNvPicPr>
                    <a:picLocks noChangeAspect="1"/>
                  </pic:cNvPicPr>
                </pic:nvPicPr>
                <pic:blipFill>
                  <a:blip r:embed="rId3"/>
                  <a:stretch>
                    <a:fillRect/>
                  </a:stretch>
                </pic:blipFill>
                <pic:spPr>
                  <a:xfrm>
                    <a:off x="0" y="0"/>
                    <a:ext cx="2087880" cy="1771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5F44C"/>
    <w:multiLevelType w:val="singleLevel"/>
    <w:tmpl w:val="2075F44C"/>
    <w:lvl w:ilvl="0" w:tentative="0">
      <w:start w:val="5"/>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4F1"/>
    <w:rsid w:val="0000373E"/>
    <w:rsid w:val="00003951"/>
    <w:rsid w:val="00004AC7"/>
    <w:rsid w:val="0000626C"/>
    <w:rsid w:val="00010B05"/>
    <w:rsid w:val="00016003"/>
    <w:rsid w:val="00016BB0"/>
    <w:rsid w:val="0002136F"/>
    <w:rsid w:val="00022CC9"/>
    <w:rsid w:val="000256C8"/>
    <w:rsid w:val="000331FB"/>
    <w:rsid w:val="0003327A"/>
    <w:rsid w:val="000342C2"/>
    <w:rsid w:val="000361C8"/>
    <w:rsid w:val="000416F8"/>
    <w:rsid w:val="00042C58"/>
    <w:rsid w:val="00044E31"/>
    <w:rsid w:val="0005467C"/>
    <w:rsid w:val="00054753"/>
    <w:rsid w:val="0005556A"/>
    <w:rsid w:val="000636D0"/>
    <w:rsid w:val="00064867"/>
    <w:rsid w:val="00072D51"/>
    <w:rsid w:val="00075B35"/>
    <w:rsid w:val="0008208A"/>
    <w:rsid w:val="0008732C"/>
    <w:rsid w:val="00090481"/>
    <w:rsid w:val="00094C50"/>
    <w:rsid w:val="000965AE"/>
    <w:rsid w:val="00097B6C"/>
    <w:rsid w:val="000B6680"/>
    <w:rsid w:val="000C2639"/>
    <w:rsid w:val="000D2F83"/>
    <w:rsid w:val="000D3834"/>
    <w:rsid w:val="000D56F6"/>
    <w:rsid w:val="000D6B78"/>
    <w:rsid w:val="000E0407"/>
    <w:rsid w:val="000E1324"/>
    <w:rsid w:val="000E75F7"/>
    <w:rsid w:val="000F240C"/>
    <w:rsid w:val="000F4136"/>
    <w:rsid w:val="00113B45"/>
    <w:rsid w:val="00123B37"/>
    <w:rsid w:val="00131A75"/>
    <w:rsid w:val="001327C4"/>
    <w:rsid w:val="001346F2"/>
    <w:rsid w:val="00134823"/>
    <w:rsid w:val="00143202"/>
    <w:rsid w:val="00144413"/>
    <w:rsid w:val="00147A59"/>
    <w:rsid w:val="001528AD"/>
    <w:rsid w:val="00155C1E"/>
    <w:rsid w:val="00156835"/>
    <w:rsid w:val="00170222"/>
    <w:rsid w:val="00170666"/>
    <w:rsid w:val="00181935"/>
    <w:rsid w:val="00197545"/>
    <w:rsid w:val="001A1F7B"/>
    <w:rsid w:val="001A4EAB"/>
    <w:rsid w:val="001A517E"/>
    <w:rsid w:val="001C3865"/>
    <w:rsid w:val="001C6B66"/>
    <w:rsid w:val="001D2695"/>
    <w:rsid w:val="001D78DF"/>
    <w:rsid w:val="001E187D"/>
    <w:rsid w:val="001E3057"/>
    <w:rsid w:val="001F0D14"/>
    <w:rsid w:val="001F31A5"/>
    <w:rsid w:val="001F6B2C"/>
    <w:rsid w:val="00201659"/>
    <w:rsid w:val="00205A5C"/>
    <w:rsid w:val="00205CFA"/>
    <w:rsid w:val="00210535"/>
    <w:rsid w:val="00223A6E"/>
    <w:rsid w:val="00226C48"/>
    <w:rsid w:val="002404A6"/>
    <w:rsid w:val="00243D7B"/>
    <w:rsid w:val="00246FF7"/>
    <w:rsid w:val="00254353"/>
    <w:rsid w:val="002558CE"/>
    <w:rsid w:val="00261222"/>
    <w:rsid w:val="0026647A"/>
    <w:rsid w:val="00283374"/>
    <w:rsid w:val="00283B9B"/>
    <w:rsid w:val="0028734D"/>
    <w:rsid w:val="002909FF"/>
    <w:rsid w:val="00295BE3"/>
    <w:rsid w:val="002A39AA"/>
    <w:rsid w:val="002A4C39"/>
    <w:rsid w:val="002A7DF4"/>
    <w:rsid w:val="002A7F41"/>
    <w:rsid w:val="002B029F"/>
    <w:rsid w:val="002B1637"/>
    <w:rsid w:val="002B178E"/>
    <w:rsid w:val="002B4A9A"/>
    <w:rsid w:val="002B650E"/>
    <w:rsid w:val="002C0FC1"/>
    <w:rsid w:val="002C165B"/>
    <w:rsid w:val="002C1A2A"/>
    <w:rsid w:val="002C3EAB"/>
    <w:rsid w:val="002C5728"/>
    <w:rsid w:val="002E28D7"/>
    <w:rsid w:val="002E69EE"/>
    <w:rsid w:val="002F2052"/>
    <w:rsid w:val="002F3D39"/>
    <w:rsid w:val="002F5C94"/>
    <w:rsid w:val="002F6C5D"/>
    <w:rsid w:val="002F7792"/>
    <w:rsid w:val="00303B50"/>
    <w:rsid w:val="003073CE"/>
    <w:rsid w:val="003121AE"/>
    <w:rsid w:val="00312453"/>
    <w:rsid w:val="003133EB"/>
    <w:rsid w:val="00320C1D"/>
    <w:rsid w:val="0032633E"/>
    <w:rsid w:val="00326D02"/>
    <w:rsid w:val="00327A7D"/>
    <w:rsid w:val="00327E63"/>
    <w:rsid w:val="00331336"/>
    <w:rsid w:val="00331837"/>
    <w:rsid w:val="0033305D"/>
    <w:rsid w:val="00333E31"/>
    <w:rsid w:val="003351AD"/>
    <w:rsid w:val="0033582E"/>
    <w:rsid w:val="00336135"/>
    <w:rsid w:val="003422B2"/>
    <w:rsid w:val="003550F8"/>
    <w:rsid w:val="003629C1"/>
    <w:rsid w:val="00363179"/>
    <w:rsid w:val="00364B16"/>
    <w:rsid w:val="00367F90"/>
    <w:rsid w:val="00371AE4"/>
    <w:rsid w:val="00373106"/>
    <w:rsid w:val="003763F5"/>
    <w:rsid w:val="003812E9"/>
    <w:rsid w:val="00383245"/>
    <w:rsid w:val="0038474B"/>
    <w:rsid w:val="00390789"/>
    <w:rsid w:val="003957DA"/>
    <w:rsid w:val="00395FAA"/>
    <w:rsid w:val="00397951"/>
    <w:rsid w:val="003A2FF8"/>
    <w:rsid w:val="003A59A0"/>
    <w:rsid w:val="003B28FE"/>
    <w:rsid w:val="003B4EBF"/>
    <w:rsid w:val="003B6552"/>
    <w:rsid w:val="003B77A9"/>
    <w:rsid w:val="003C1033"/>
    <w:rsid w:val="003C12C2"/>
    <w:rsid w:val="003C1879"/>
    <w:rsid w:val="003C2C3A"/>
    <w:rsid w:val="003D33DD"/>
    <w:rsid w:val="003D3863"/>
    <w:rsid w:val="003D3DEE"/>
    <w:rsid w:val="003E3840"/>
    <w:rsid w:val="003E3999"/>
    <w:rsid w:val="003E6F9D"/>
    <w:rsid w:val="003E794B"/>
    <w:rsid w:val="003F187A"/>
    <w:rsid w:val="003F2134"/>
    <w:rsid w:val="003F3FB7"/>
    <w:rsid w:val="003F752E"/>
    <w:rsid w:val="003F7B1E"/>
    <w:rsid w:val="0040119B"/>
    <w:rsid w:val="0042159D"/>
    <w:rsid w:val="00427770"/>
    <w:rsid w:val="004332C9"/>
    <w:rsid w:val="004474ED"/>
    <w:rsid w:val="0045206B"/>
    <w:rsid w:val="00453DD4"/>
    <w:rsid w:val="0045707D"/>
    <w:rsid w:val="00457B4B"/>
    <w:rsid w:val="00465D59"/>
    <w:rsid w:val="004738AC"/>
    <w:rsid w:val="00474444"/>
    <w:rsid w:val="00476D86"/>
    <w:rsid w:val="004822B4"/>
    <w:rsid w:val="00486BF8"/>
    <w:rsid w:val="00487BD2"/>
    <w:rsid w:val="004A2378"/>
    <w:rsid w:val="004A2BB3"/>
    <w:rsid w:val="004A33FA"/>
    <w:rsid w:val="004A4044"/>
    <w:rsid w:val="004A4F8A"/>
    <w:rsid w:val="004A6631"/>
    <w:rsid w:val="004B174F"/>
    <w:rsid w:val="004B36A1"/>
    <w:rsid w:val="004C1BA0"/>
    <w:rsid w:val="004C53AB"/>
    <w:rsid w:val="004C5901"/>
    <w:rsid w:val="004D43E9"/>
    <w:rsid w:val="004E27B5"/>
    <w:rsid w:val="004E31E9"/>
    <w:rsid w:val="004E598D"/>
    <w:rsid w:val="004E67D8"/>
    <w:rsid w:val="004E6944"/>
    <w:rsid w:val="004F11F0"/>
    <w:rsid w:val="004F4077"/>
    <w:rsid w:val="004F66BD"/>
    <w:rsid w:val="004F70D8"/>
    <w:rsid w:val="004F7820"/>
    <w:rsid w:val="00502CA3"/>
    <w:rsid w:val="00512EF5"/>
    <w:rsid w:val="005141BB"/>
    <w:rsid w:val="00517D51"/>
    <w:rsid w:val="00521263"/>
    <w:rsid w:val="00521BF6"/>
    <w:rsid w:val="00523769"/>
    <w:rsid w:val="005273A8"/>
    <w:rsid w:val="00532FFD"/>
    <w:rsid w:val="0055223A"/>
    <w:rsid w:val="0055256C"/>
    <w:rsid w:val="005529DB"/>
    <w:rsid w:val="00564D55"/>
    <w:rsid w:val="005662DE"/>
    <w:rsid w:val="00571245"/>
    <w:rsid w:val="00573CB9"/>
    <w:rsid w:val="005835CF"/>
    <w:rsid w:val="005909E3"/>
    <w:rsid w:val="00590FF1"/>
    <w:rsid w:val="005910A3"/>
    <w:rsid w:val="00591312"/>
    <w:rsid w:val="005962F2"/>
    <w:rsid w:val="00596596"/>
    <w:rsid w:val="005A2CC4"/>
    <w:rsid w:val="005A2DB2"/>
    <w:rsid w:val="005A3363"/>
    <w:rsid w:val="005B1B43"/>
    <w:rsid w:val="005B6687"/>
    <w:rsid w:val="005B732C"/>
    <w:rsid w:val="005C2DAA"/>
    <w:rsid w:val="005C308A"/>
    <w:rsid w:val="005C6D20"/>
    <w:rsid w:val="005D191D"/>
    <w:rsid w:val="005D1A1E"/>
    <w:rsid w:val="005D20B2"/>
    <w:rsid w:val="005D4DCE"/>
    <w:rsid w:val="005D555A"/>
    <w:rsid w:val="005E1683"/>
    <w:rsid w:val="005F0F94"/>
    <w:rsid w:val="005F660E"/>
    <w:rsid w:val="005F72BD"/>
    <w:rsid w:val="005F7B3F"/>
    <w:rsid w:val="00601ED4"/>
    <w:rsid w:val="0060537B"/>
    <w:rsid w:val="006135B6"/>
    <w:rsid w:val="006168D5"/>
    <w:rsid w:val="00623B08"/>
    <w:rsid w:val="00624A3A"/>
    <w:rsid w:val="0063179D"/>
    <w:rsid w:val="006404FA"/>
    <w:rsid w:val="006415DE"/>
    <w:rsid w:val="00641AD3"/>
    <w:rsid w:val="00641C05"/>
    <w:rsid w:val="006701BD"/>
    <w:rsid w:val="00684A8A"/>
    <w:rsid w:val="0068524E"/>
    <w:rsid w:val="00692739"/>
    <w:rsid w:val="006930C3"/>
    <w:rsid w:val="00693E06"/>
    <w:rsid w:val="006A0D41"/>
    <w:rsid w:val="006A1331"/>
    <w:rsid w:val="006B765F"/>
    <w:rsid w:val="006C08BF"/>
    <w:rsid w:val="006C46FD"/>
    <w:rsid w:val="006D5CB9"/>
    <w:rsid w:val="006F3AD5"/>
    <w:rsid w:val="006F40E1"/>
    <w:rsid w:val="006F5460"/>
    <w:rsid w:val="006F7A8A"/>
    <w:rsid w:val="00700D0A"/>
    <w:rsid w:val="007123D0"/>
    <w:rsid w:val="00714E8C"/>
    <w:rsid w:val="00716B30"/>
    <w:rsid w:val="007231A7"/>
    <w:rsid w:val="00724D50"/>
    <w:rsid w:val="00733D6E"/>
    <w:rsid w:val="00737097"/>
    <w:rsid w:val="0073773F"/>
    <w:rsid w:val="00747A45"/>
    <w:rsid w:val="00751304"/>
    <w:rsid w:val="0075279D"/>
    <w:rsid w:val="00752EDD"/>
    <w:rsid w:val="00752F40"/>
    <w:rsid w:val="00754706"/>
    <w:rsid w:val="007602C9"/>
    <w:rsid w:val="007630F3"/>
    <w:rsid w:val="00763B53"/>
    <w:rsid w:val="00770FFD"/>
    <w:rsid w:val="007712F1"/>
    <w:rsid w:val="00774783"/>
    <w:rsid w:val="00775475"/>
    <w:rsid w:val="0077614F"/>
    <w:rsid w:val="0078352C"/>
    <w:rsid w:val="00784C65"/>
    <w:rsid w:val="00786C44"/>
    <w:rsid w:val="00787DC5"/>
    <w:rsid w:val="007905AB"/>
    <w:rsid w:val="00793584"/>
    <w:rsid w:val="00796730"/>
    <w:rsid w:val="007A3931"/>
    <w:rsid w:val="007A3EF3"/>
    <w:rsid w:val="007A440A"/>
    <w:rsid w:val="007A71A5"/>
    <w:rsid w:val="007A7FB5"/>
    <w:rsid w:val="007B276B"/>
    <w:rsid w:val="007C01AA"/>
    <w:rsid w:val="007C01FD"/>
    <w:rsid w:val="007C1600"/>
    <w:rsid w:val="007C2881"/>
    <w:rsid w:val="007D14C3"/>
    <w:rsid w:val="007D5134"/>
    <w:rsid w:val="007D67C1"/>
    <w:rsid w:val="007E4071"/>
    <w:rsid w:val="007E6720"/>
    <w:rsid w:val="007E7D44"/>
    <w:rsid w:val="007F31CD"/>
    <w:rsid w:val="007F58AF"/>
    <w:rsid w:val="00804CD7"/>
    <w:rsid w:val="00815535"/>
    <w:rsid w:val="0081773F"/>
    <w:rsid w:val="00822F5A"/>
    <w:rsid w:val="00832DC6"/>
    <w:rsid w:val="0083411B"/>
    <w:rsid w:val="00834AEA"/>
    <w:rsid w:val="00835E3E"/>
    <w:rsid w:val="008364E1"/>
    <w:rsid w:val="0083654E"/>
    <w:rsid w:val="00836942"/>
    <w:rsid w:val="00837632"/>
    <w:rsid w:val="00841461"/>
    <w:rsid w:val="00853563"/>
    <w:rsid w:val="00855AE9"/>
    <w:rsid w:val="00867133"/>
    <w:rsid w:val="00872E06"/>
    <w:rsid w:val="008766BC"/>
    <w:rsid w:val="00880FD9"/>
    <w:rsid w:val="00885F47"/>
    <w:rsid w:val="00894F40"/>
    <w:rsid w:val="008A0501"/>
    <w:rsid w:val="008B43B3"/>
    <w:rsid w:val="008B4C02"/>
    <w:rsid w:val="008B5007"/>
    <w:rsid w:val="008B7C97"/>
    <w:rsid w:val="008C34D2"/>
    <w:rsid w:val="008C4D4B"/>
    <w:rsid w:val="008C5EFC"/>
    <w:rsid w:val="008C611E"/>
    <w:rsid w:val="008C6380"/>
    <w:rsid w:val="008C6A2E"/>
    <w:rsid w:val="008C7ABC"/>
    <w:rsid w:val="008D0F81"/>
    <w:rsid w:val="008D357B"/>
    <w:rsid w:val="008D4489"/>
    <w:rsid w:val="008D50AA"/>
    <w:rsid w:val="008D719F"/>
    <w:rsid w:val="008E1364"/>
    <w:rsid w:val="008E370A"/>
    <w:rsid w:val="008E4F00"/>
    <w:rsid w:val="008F1745"/>
    <w:rsid w:val="008F4FBF"/>
    <w:rsid w:val="008F6A6A"/>
    <w:rsid w:val="008F6E2D"/>
    <w:rsid w:val="008F7773"/>
    <w:rsid w:val="00902686"/>
    <w:rsid w:val="009052A9"/>
    <w:rsid w:val="00907BCB"/>
    <w:rsid w:val="00911E6A"/>
    <w:rsid w:val="00916ED4"/>
    <w:rsid w:val="00921237"/>
    <w:rsid w:val="00922AA5"/>
    <w:rsid w:val="00926B04"/>
    <w:rsid w:val="009365ED"/>
    <w:rsid w:val="00936A77"/>
    <w:rsid w:val="009375C9"/>
    <w:rsid w:val="009476EB"/>
    <w:rsid w:val="00950E58"/>
    <w:rsid w:val="0095283F"/>
    <w:rsid w:val="009612FC"/>
    <w:rsid w:val="00966F3F"/>
    <w:rsid w:val="00975DDD"/>
    <w:rsid w:val="00981E00"/>
    <w:rsid w:val="009833DF"/>
    <w:rsid w:val="009875E6"/>
    <w:rsid w:val="00987745"/>
    <w:rsid w:val="00993BEE"/>
    <w:rsid w:val="009957C1"/>
    <w:rsid w:val="009B03A8"/>
    <w:rsid w:val="009B2F49"/>
    <w:rsid w:val="009C22B1"/>
    <w:rsid w:val="009C2FBE"/>
    <w:rsid w:val="009C4B8A"/>
    <w:rsid w:val="009C55FB"/>
    <w:rsid w:val="009C71E3"/>
    <w:rsid w:val="009D10C8"/>
    <w:rsid w:val="009D2F7F"/>
    <w:rsid w:val="009D786F"/>
    <w:rsid w:val="009E45C9"/>
    <w:rsid w:val="009E71C4"/>
    <w:rsid w:val="00A00843"/>
    <w:rsid w:val="00A0319A"/>
    <w:rsid w:val="00A0422F"/>
    <w:rsid w:val="00A0527C"/>
    <w:rsid w:val="00A05C88"/>
    <w:rsid w:val="00A1176C"/>
    <w:rsid w:val="00A12F9A"/>
    <w:rsid w:val="00A14008"/>
    <w:rsid w:val="00A2664C"/>
    <w:rsid w:val="00A26EDA"/>
    <w:rsid w:val="00A308B9"/>
    <w:rsid w:val="00A31AE1"/>
    <w:rsid w:val="00A31F9B"/>
    <w:rsid w:val="00A35A9C"/>
    <w:rsid w:val="00A41EA2"/>
    <w:rsid w:val="00A427B6"/>
    <w:rsid w:val="00A4335F"/>
    <w:rsid w:val="00A52569"/>
    <w:rsid w:val="00A551FF"/>
    <w:rsid w:val="00A564B5"/>
    <w:rsid w:val="00A56566"/>
    <w:rsid w:val="00A56A93"/>
    <w:rsid w:val="00A605BA"/>
    <w:rsid w:val="00A62F07"/>
    <w:rsid w:val="00A64989"/>
    <w:rsid w:val="00A7228B"/>
    <w:rsid w:val="00A7594E"/>
    <w:rsid w:val="00A80193"/>
    <w:rsid w:val="00A80B30"/>
    <w:rsid w:val="00A81CA8"/>
    <w:rsid w:val="00A844A9"/>
    <w:rsid w:val="00A875B0"/>
    <w:rsid w:val="00A9089E"/>
    <w:rsid w:val="00A91FC5"/>
    <w:rsid w:val="00A920F0"/>
    <w:rsid w:val="00AA209E"/>
    <w:rsid w:val="00AB101A"/>
    <w:rsid w:val="00AB29C3"/>
    <w:rsid w:val="00AB4512"/>
    <w:rsid w:val="00AB723A"/>
    <w:rsid w:val="00AB7BB6"/>
    <w:rsid w:val="00AC313F"/>
    <w:rsid w:val="00AC50D6"/>
    <w:rsid w:val="00AD0EF4"/>
    <w:rsid w:val="00AD18BF"/>
    <w:rsid w:val="00AD7F24"/>
    <w:rsid w:val="00AE0BDF"/>
    <w:rsid w:val="00AE337D"/>
    <w:rsid w:val="00AF6BBC"/>
    <w:rsid w:val="00AF7648"/>
    <w:rsid w:val="00AF7BD7"/>
    <w:rsid w:val="00B00101"/>
    <w:rsid w:val="00B033EB"/>
    <w:rsid w:val="00B043DB"/>
    <w:rsid w:val="00B04FDE"/>
    <w:rsid w:val="00B05D9F"/>
    <w:rsid w:val="00B220CF"/>
    <w:rsid w:val="00B24AA6"/>
    <w:rsid w:val="00B255C1"/>
    <w:rsid w:val="00B27037"/>
    <w:rsid w:val="00B44CEF"/>
    <w:rsid w:val="00B466F1"/>
    <w:rsid w:val="00B50711"/>
    <w:rsid w:val="00B51DED"/>
    <w:rsid w:val="00B5397D"/>
    <w:rsid w:val="00B601FE"/>
    <w:rsid w:val="00B63BF2"/>
    <w:rsid w:val="00B66234"/>
    <w:rsid w:val="00B72763"/>
    <w:rsid w:val="00B73577"/>
    <w:rsid w:val="00B73B8F"/>
    <w:rsid w:val="00B74402"/>
    <w:rsid w:val="00B77C06"/>
    <w:rsid w:val="00B818A0"/>
    <w:rsid w:val="00B83AB7"/>
    <w:rsid w:val="00B902C2"/>
    <w:rsid w:val="00B91BB7"/>
    <w:rsid w:val="00B940A4"/>
    <w:rsid w:val="00B94C10"/>
    <w:rsid w:val="00B961A3"/>
    <w:rsid w:val="00BB112A"/>
    <w:rsid w:val="00BB5A7C"/>
    <w:rsid w:val="00BB7832"/>
    <w:rsid w:val="00BC1F26"/>
    <w:rsid w:val="00BC63BE"/>
    <w:rsid w:val="00BC6486"/>
    <w:rsid w:val="00BD10F6"/>
    <w:rsid w:val="00BD687E"/>
    <w:rsid w:val="00BD6BDE"/>
    <w:rsid w:val="00BE0101"/>
    <w:rsid w:val="00BE7C53"/>
    <w:rsid w:val="00BF23B2"/>
    <w:rsid w:val="00BF44F1"/>
    <w:rsid w:val="00BF5AAD"/>
    <w:rsid w:val="00C079A0"/>
    <w:rsid w:val="00C118F3"/>
    <w:rsid w:val="00C12F87"/>
    <w:rsid w:val="00C2506E"/>
    <w:rsid w:val="00C256DC"/>
    <w:rsid w:val="00C31DC7"/>
    <w:rsid w:val="00C32FCE"/>
    <w:rsid w:val="00C3607A"/>
    <w:rsid w:val="00C4569A"/>
    <w:rsid w:val="00C51C26"/>
    <w:rsid w:val="00C54E60"/>
    <w:rsid w:val="00C71B31"/>
    <w:rsid w:val="00C7499F"/>
    <w:rsid w:val="00C76FAB"/>
    <w:rsid w:val="00C87885"/>
    <w:rsid w:val="00C87F88"/>
    <w:rsid w:val="00C92EF8"/>
    <w:rsid w:val="00CA0DD9"/>
    <w:rsid w:val="00CA6314"/>
    <w:rsid w:val="00CA6A59"/>
    <w:rsid w:val="00CB23C4"/>
    <w:rsid w:val="00CB251D"/>
    <w:rsid w:val="00CB674E"/>
    <w:rsid w:val="00CC3418"/>
    <w:rsid w:val="00CC3A98"/>
    <w:rsid w:val="00CC4A79"/>
    <w:rsid w:val="00CC5BA0"/>
    <w:rsid w:val="00CC7985"/>
    <w:rsid w:val="00CD1883"/>
    <w:rsid w:val="00CD2B18"/>
    <w:rsid w:val="00CD615E"/>
    <w:rsid w:val="00CE13FA"/>
    <w:rsid w:val="00CE339D"/>
    <w:rsid w:val="00CE4678"/>
    <w:rsid w:val="00CF1120"/>
    <w:rsid w:val="00CF2B41"/>
    <w:rsid w:val="00D0181B"/>
    <w:rsid w:val="00D03A8D"/>
    <w:rsid w:val="00D0519F"/>
    <w:rsid w:val="00D231E1"/>
    <w:rsid w:val="00D246B3"/>
    <w:rsid w:val="00D31C96"/>
    <w:rsid w:val="00D337A3"/>
    <w:rsid w:val="00D34D98"/>
    <w:rsid w:val="00D34E2A"/>
    <w:rsid w:val="00D3534F"/>
    <w:rsid w:val="00D35679"/>
    <w:rsid w:val="00D406FE"/>
    <w:rsid w:val="00D40966"/>
    <w:rsid w:val="00D4138F"/>
    <w:rsid w:val="00D5145A"/>
    <w:rsid w:val="00D51584"/>
    <w:rsid w:val="00D53133"/>
    <w:rsid w:val="00D553CA"/>
    <w:rsid w:val="00D55946"/>
    <w:rsid w:val="00D60CF0"/>
    <w:rsid w:val="00D624BA"/>
    <w:rsid w:val="00D64156"/>
    <w:rsid w:val="00D645E0"/>
    <w:rsid w:val="00D663CF"/>
    <w:rsid w:val="00D76A8A"/>
    <w:rsid w:val="00D77AFF"/>
    <w:rsid w:val="00D80287"/>
    <w:rsid w:val="00D8068D"/>
    <w:rsid w:val="00D8168F"/>
    <w:rsid w:val="00D86BD2"/>
    <w:rsid w:val="00D93146"/>
    <w:rsid w:val="00D97C74"/>
    <w:rsid w:val="00DB1D42"/>
    <w:rsid w:val="00DB2A93"/>
    <w:rsid w:val="00DB3C60"/>
    <w:rsid w:val="00DB7E71"/>
    <w:rsid w:val="00DC2C19"/>
    <w:rsid w:val="00DC3F7F"/>
    <w:rsid w:val="00DC4A57"/>
    <w:rsid w:val="00DC621E"/>
    <w:rsid w:val="00DD6127"/>
    <w:rsid w:val="00DD7CF1"/>
    <w:rsid w:val="00DE083D"/>
    <w:rsid w:val="00DF3681"/>
    <w:rsid w:val="00E0491B"/>
    <w:rsid w:val="00E05DD9"/>
    <w:rsid w:val="00E06958"/>
    <w:rsid w:val="00E10716"/>
    <w:rsid w:val="00E10859"/>
    <w:rsid w:val="00E12F6C"/>
    <w:rsid w:val="00E215F4"/>
    <w:rsid w:val="00E227B7"/>
    <w:rsid w:val="00E24894"/>
    <w:rsid w:val="00E249AA"/>
    <w:rsid w:val="00E25639"/>
    <w:rsid w:val="00E36F14"/>
    <w:rsid w:val="00E4552B"/>
    <w:rsid w:val="00E50CE7"/>
    <w:rsid w:val="00E60187"/>
    <w:rsid w:val="00E70DD3"/>
    <w:rsid w:val="00E730A9"/>
    <w:rsid w:val="00E746B8"/>
    <w:rsid w:val="00E7483F"/>
    <w:rsid w:val="00E8261C"/>
    <w:rsid w:val="00E8385C"/>
    <w:rsid w:val="00E8754A"/>
    <w:rsid w:val="00E87911"/>
    <w:rsid w:val="00E90828"/>
    <w:rsid w:val="00E96F48"/>
    <w:rsid w:val="00E97ECF"/>
    <w:rsid w:val="00EA09D2"/>
    <w:rsid w:val="00EA1E57"/>
    <w:rsid w:val="00EA4E3F"/>
    <w:rsid w:val="00EA500B"/>
    <w:rsid w:val="00EA7D44"/>
    <w:rsid w:val="00EB1056"/>
    <w:rsid w:val="00EB1DBC"/>
    <w:rsid w:val="00EB1E65"/>
    <w:rsid w:val="00EB32B2"/>
    <w:rsid w:val="00EB3DB2"/>
    <w:rsid w:val="00EB5A82"/>
    <w:rsid w:val="00EB70DA"/>
    <w:rsid w:val="00EC0877"/>
    <w:rsid w:val="00ED2931"/>
    <w:rsid w:val="00ED4985"/>
    <w:rsid w:val="00EE14F3"/>
    <w:rsid w:val="00EF3558"/>
    <w:rsid w:val="00EF5184"/>
    <w:rsid w:val="00EF7B36"/>
    <w:rsid w:val="00F030F2"/>
    <w:rsid w:val="00F03DFE"/>
    <w:rsid w:val="00F1020E"/>
    <w:rsid w:val="00F10AA3"/>
    <w:rsid w:val="00F10FD9"/>
    <w:rsid w:val="00F145A8"/>
    <w:rsid w:val="00F16B22"/>
    <w:rsid w:val="00F20C13"/>
    <w:rsid w:val="00F22980"/>
    <w:rsid w:val="00F247DF"/>
    <w:rsid w:val="00F2536F"/>
    <w:rsid w:val="00F261EB"/>
    <w:rsid w:val="00F27319"/>
    <w:rsid w:val="00F31430"/>
    <w:rsid w:val="00F344FB"/>
    <w:rsid w:val="00F356FB"/>
    <w:rsid w:val="00F37451"/>
    <w:rsid w:val="00F4106B"/>
    <w:rsid w:val="00F466E4"/>
    <w:rsid w:val="00F46C69"/>
    <w:rsid w:val="00F552F0"/>
    <w:rsid w:val="00F55F38"/>
    <w:rsid w:val="00F6000A"/>
    <w:rsid w:val="00F60A33"/>
    <w:rsid w:val="00F6591B"/>
    <w:rsid w:val="00F7554A"/>
    <w:rsid w:val="00F7561F"/>
    <w:rsid w:val="00F80472"/>
    <w:rsid w:val="00F8187D"/>
    <w:rsid w:val="00F9000F"/>
    <w:rsid w:val="00F930E6"/>
    <w:rsid w:val="00F95F3B"/>
    <w:rsid w:val="00FA0404"/>
    <w:rsid w:val="00FA2622"/>
    <w:rsid w:val="00FA6E6E"/>
    <w:rsid w:val="00FB0FF3"/>
    <w:rsid w:val="00FB53F3"/>
    <w:rsid w:val="00FC4735"/>
    <w:rsid w:val="00FC7BF0"/>
    <w:rsid w:val="00FD0769"/>
    <w:rsid w:val="00FD117B"/>
    <w:rsid w:val="00FD45B9"/>
    <w:rsid w:val="00FE5D35"/>
    <w:rsid w:val="00FE6496"/>
    <w:rsid w:val="00FF2E46"/>
    <w:rsid w:val="00FF600B"/>
    <w:rsid w:val="00FF6325"/>
    <w:rsid w:val="00FF7248"/>
    <w:rsid w:val="01187D6A"/>
    <w:rsid w:val="02386926"/>
    <w:rsid w:val="02B27F2F"/>
    <w:rsid w:val="030B1F99"/>
    <w:rsid w:val="035E7074"/>
    <w:rsid w:val="037B2169"/>
    <w:rsid w:val="03A55F6B"/>
    <w:rsid w:val="04092E1A"/>
    <w:rsid w:val="047743A0"/>
    <w:rsid w:val="049D11F9"/>
    <w:rsid w:val="051B0846"/>
    <w:rsid w:val="05321B4B"/>
    <w:rsid w:val="05937A58"/>
    <w:rsid w:val="067F70BB"/>
    <w:rsid w:val="068D4899"/>
    <w:rsid w:val="06D011B9"/>
    <w:rsid w:val="06FA4C3E"/>
    <w:rsid w:val="07392139"/>
    <w:rsid w:val="07A30046"/>
    <w:rsid w:val="07F245A0"/>
    <w:rsid w:val="07FD6DD5"/>
    <w:rsid w:val="086A2811"/>
    <w:rsid w:val="08A33172"/>
    <w:rsid w:val="08C97986"/>
    <w:rsid w:val="08D34B6E"/>
    <w:rsid w:val="095E5E6D"/>
    <w:rsid w:val="098902C6"/>
    <w:rsid w:val="09BF2B30"/>
    <w:rsid w:val="09C15EEA"/>
    <w:rsid w:val="0A7D5E96"/>
    <w:rsid w:val="0ADC0919"/>
    <w:rsid w:val="0B29555A"/>
    <w:rsid w:val="0B6748A8"/>
    <w:rsid w:val="0B92314F"/>
    <w:rsid w:val="0BB526B4"/>
    <w:rsid w:val="0BCA6BDA"/>
    <w:rsid w:val="0BE95B2A"/>
    <w:rsid w:val="0BF20145"/>
    <w:rsid w:val="0C230CBF"/>
    <w:rsid w:val="0CC84AD1"/>
    <w:rsid w:val="0CCF12BA"/>
    <w:rsid w:val="0D3D11C1"/>
    <w:rsid w:val="0E0B5308"/>
    <w:rsid w:val="0E9973DD"/>
    <w:rsid w:val="0EAF1A24"/>
    <w:rsid w:val="0F2526B2"/>
    <w:rsid w:val="0F9F00DC"/>
    <w:rsid w:val="0FE56D48"/>
    <w:rsid w:val="10383406"/>
    <w:rsid w:val="104755A3"/>
    <w:rsid w:val="10AF1D06"/>
    <w:rsid w:val="125D0C5C"/>
    <w:rsid w:val="12C87D84"/>
    <w:rsid w:val="12EB642B"/>
    <w:rsid w:val="131651AF"/>
    <w:rsid w:val="13306354"/>
    <w:rsid w:val="13BB145F"/>
    <w:rsid w:val="145F32A3"/>
    <w:rsid w:val="1511114E"/>
    <w:rsid w:val="1517329E"/>
    <w:rsid w:val="1535782F"/>
    <w:rsid w:val="15AC34FF"/>
    <w:rsid w:val="16186D08"/>
    <w:rsid w:val="16233513"/>
    <w:rsid w:val="16277DD1"/>
    <w:rsid w:val="164A7C77"/>
    <w:rsid w:val="17292F61"/>
    <w:rsid w:val="178413AC"/>
    <w:rsid w:val="18B302E6"/>
    <w:rsid w:val="1ACF55CC"/>
    <w:rsid w:val="1AE93470"/>
    <w:rsid w:val="1B73171E"/>
    <w:rsid w:val="1B8B0868"/>
    <w:rsid w:val="1BED2A00"/>
    <w:rsid w:val="1C113C4B"/>
    <w:rsid w:val="1C597D41"/>
    <w:rsid w:val="1C6A4744"/>
    <w:rsid w:val="1C704997"/>
    <w:rsid w:val="1C82789D"/>
    <w:rsid w:val="1CDE0620"/>
    <w:rsid w:val="1E49414C"/>
    <w:rsid w:val="1E4947B3"/>
    <w:rsid w:val="1E5A2E10"/>
    <w:rsid w:val="1EFB6C8A"/>
    <w:rsid w:val="1F3F781D"/>
    <w:rsid w:val="1FCE075E"/>
    <w:rsid w:val="201F4CA7"/>
    <w:rsid w:val="20E64892"/>
    <w:rsid w:val="213B7BA7"/>
    <w:rsid w:val="21730749"/>
    <w:rsid w:val="21894E36"/>
    <w:rsid w:val="21B55087"/>
    <w:rsid w:val="21C22277"/>
    <w:rsid w:val="22511B61"/>
    <w:rsid w:val="226F5005"/>
    <w:rsid w:val="22D642A8"/>
    <w:rsid w:val="23042055"/>
    <w:rsid w:val="24691B3A"/>
    <w:rsid w:val="249E5BB9"/>
    <w:rsid w:val="25166084"/>
    <w:rsid w:val="252807F8"/>
    <w:rsid w:val="25640C29"/>
    <w:rsid w:val="25AA5F0C"/>
    <w:rsid w:val="26872622"/>
    <w:rsid w:val="26A77C4E"/>
    <w:rsid w:val="26C339B9"/>
    <w:rsid w:val="27213EDA"/>
    <w:rsid w:val="272E61B6"/>
    <w:rsid w:val="280E1367"/>
    <w:rsid w:val="285F00C7"/>
    <w:rsid w:val="28E641B1"/>
    <w:rsid w:val="28E654F5"/>
    <w:rsid w:val="2904645C"/>
    <w:rsid w:val="291F5F75"/>
    <w:rsid w:val="29412E78"/>
    <w:rsid w:val="297D4466"/>
    <w:rsid w:val="2986284C"/>
    <w:rsid w:val="299C214A"/>
    <w:rsid w:val="29A9525B"/>
    <w:rsid w:val="29B535EE"/>
    <w:rsid w:val="29BC41BF"/>
    <w:rsid w:val="29D930B5"/>
    <w:rsid w:val="29E01176"/>
    <w:rsid w:val="2A3E409E"/>
    <w:rsid w:val="2AA903DC"/>
    <w:rsid w:val="2AB270CD"/>
    <w:rsid w:val="2ACB1808"/>
    <w:rsid w:val="2ACF37A9"/>
    <w:rsid w:val="2B6B7622"/>
    <w:rsid w:val="2B8A3268"/>
    <w:rsid w:val="2C253615"/>
    <w:rsid w:val="2C6B152D"/>
    <w:rsid w:val="2C830A03"/>
    <w:rsid w:val="2CB646FF"/>
    <w:rsid w:val="2CDC3479"/>
    <w:rsid w:val="2D2367EA"/>
    <w:rsid w:val="2D5439E7"/>
    <w:rsid w:val="2D5F78DE"/>
    <w:rsid w:val="2D6356A1"/>
    <w:rsid w:val="2DE751F7"/>
    <w:rsid w:val="2E08448E"/>
    <w:rsid w:val="2E0B370F"/>
    <w:rsid w:val="2E1D1590"/>
    <w:rsid w:val="2E507AE9"/>
    <w:rsid w:val="2EAA793A"/>
    <w:rsid w:val="2EE140B1"/>
    <w:rsid w:val="2FA66DE9"/>
    <w:rsid w:val="2FAB6F3F"/>
    <w:rsid w:val="2FCE277D"/>
    <w:rsid w:val="2FE56C82"/>
    <w:rsid w:val="2FEE24A6"/>
    <w:rsid w:val="2FF9666B"/>
    <w:rsid w:val="30310D37"/>
    <w:rsid w:val="30DE751C"/>
    <w:rsid w:val="30F921C1"/>
    <w:rsid w:val="31162E04"/>
    <w:rsid w:val="31375D9B"/>
    <w:rsid w:val="313B67B3"/>
    <w:rsid w:val="318C6CC9"/>
    <w:rsid w:val="3283257E"/>
    <w:rsid w:val="32EB45E3"/>
    <w:rsid w:val="331E461B"/>
    <w:rsid w:val="33692B80"/>
    <w:rsid w:val="33B90CFD"/>
    <w:rsid w:val="33D40602"/>
    <w:rsid w:val="34121801"/>
    <w:rsid w:val="3474330E"/>
    <w:rsid w:val="34960E55"/>
    <w:rsid w:val="34B21167"/>
    <w:rsid w:val="34C850E1"/>
    <w:rsid w:val="34CE25D3"/>
    <w:rsid w:val="34D37609"/>
    <w:rsid w:val="34EA0ACF"/>
    <w:rsid w:val="350376A1"/>
    <w:rsid w:val="353B0C68"/>
    <w:rsid w:val="35A92ED1"/>
    <w:rsid w:val="35D93B6C"/>
    <w:rsid w:val="360C67BF"/>
    <w:rsid w:val="361B476A"/>
    <w:rsid w:val="36890275"/>
    <w:rsid w:val="369A440B"/>
    <w:rsid w:val="36B5288E"/>
    <w:rsid w:val="37453A44"/>
    <w:rsid w:val="38B863E1"/>
    <w:rsid w:val="399532BC"/>
    <w:rsid w:val="3AF835F7"/>
    <w:rsid w:val="3B9555A9"/>
    <w:rsid w:val="3C433C09"/>
    <w:rsid w:val="3C471B94"/>
    <w:rsid w:val="3C617460"/>
    <w:rsid w:val="3CA164E5"/>
    <w:rsid w:val="3CAC151C"/>
    <w:rsid w:val="3CCE5E9F"/>
    <w:rsid w:val="3D281869"/>
    <w:rsid w:val="3D663CD8"/>
    <w:rsid w:val="3D7842CF"/>
    <w:rsid w:val="3E3B736C"/>
    <w:rsid w:val="3E6B4296"/>
    <w:rsid w:val="3EA15F75"/>
    <w:rsid w:val="3F812302"/>
    <w:rsid w:val="3F9F2EEE"/>
    <w:rsid w:val="4040378C"/>
    <w:rsid w:val="404645B0"/>
    <w:rsid w:val="40D84EE9"/>
    <w:rsid w:val="40F82526"/>
    <w:rsid w:val="41202F53"/>
    <w:rsid w:val="41310C13"/>
    <w:rsid w:val="419B20FA"/>
    <w:rsid w:val="41CD237C"/>
    <w:rsid w:val="41CF0158"/>
    <w:rsid w:val="42A874A4"/>
    <w:rsid w:val="436063B4"/>
    <w:rsid w:val="449830F6"/>
    <w:rsid w:val="44A65ECC"/>
    <w:rsid w:val="44BB5711"/>
    <w:rsid w:val="44C97BBE"/>
    <w:rsid w:val="44FA7048"/>
    <w:rsid w:val="45296F3A"/>
    <w:rsid w:val="45FC77E2"/>
    <w:rsid w:val="466D2BCF"/>
    <w:rsid w:val="46865741"/>
    <w:rsid w:val="46EB70D3"/>
    <w:rsid w:val="470B2854"/>
    <w:rsid w:val="4789034F"/>
    <w:rsid w:val="47B904D4"/>
    <w:rsid w:val="4815388D"/>
    <w:rsid w:val="48C531DC"/>
    <w:rsid w:val="48D008B0"/>
    <w:rsid w:val="49E54AAC"/>
    <w:rsid w:val="4A2C0B23"/>
    <w:rsid w:val="4A3B6B09"/>
    <w:rsid w:val="4A5215D7"/>
    <w:rsid w:val="4A5D71CD"/>
    <w:rsid w:val="4B2F5A10"/>
    <w:rsid w:val="4B397D54"/>
    <w:rsid w:val="4B420C6A"/>
    <w:rsid w:val="4B952B82"/>
    <w:rsid w:val="4B9963EF"/>
    <w:rsid w:val="4C16247E"/>
    <w:rsid w:val="4C5063FE"/>
    <w:rsid w:val="4CBB0BDD"/>
    <w:rsid w:val="4CF63A7A"/>
    <w:rsid w:val="4D2A7B3F"/>
    <w:rsid w:val="4E0A4C4A"/>
    <w:rsid w:val="4E2276BF"/>
    <w:rsid w:val="4E3727AC"/>
    <w:rsid w:val="4E3C7D00"/>
    <w:rsid w:val="4EE731B9"/>
    <w:rsid w:val="4F8C2F05"/>
    <w:rsid w:val="4FFB3685"/>
    <w:rsid w:val="50FE02B3"/>
    <w:rsid w:val="51355382"/>
    <w:rsid w:val="514658AD"/>
    <w:rsid w:val="5168719D"/>
    <w:rsid w:val="51847F0F"/>
    <w:rsid w:val="51EE1EAE"/>
    <w:rsid w:val="51FC1CDE"/>
    <w:rsid w:val="523C54E4"/>
    <w:rsid w:val="52A25D2A"/>
    <w:rsid w:val="52AF61D3"/>
    <w:rsid w:val="545D6B55"/>
    <w:rsid w:val="552803B9"/>
    <w:rsid w:val="55B96F10"/>
    <w:rsid w:val="55C025B9"/>
    <w:rsid w:val="564D7926"/>
    <w:rsid w:val="565B781E"/>
    <w:rsid w:val="571956D2"/>
    <w:rsid w:val="57F67F05"/>
    <w:rsid w:val="58730EDF"/>
    <w:rsid w:val="58F06078"/>
    <w:rsid w:val="59940142"/>
    <w:rsid w:val="5AD76717"/>
    <w:rsid w:val="5B21749F"/>
    <w:rsid w:val="5B525409"/>
    <w:rsid w:val="5BA27B5E"/>
    <w:rsid w:val="5D314D8D"/>
    <w:rsid w:val="5D604595"/>
    <w:rsid w:val="5D6B6F69"/>
    <w:rsid w:val="5DB37B98"/>
    <w:rsid w:val="5DDD031B"/>
    <w:rsid w:val="5DFD0F59"/>
    <w:rsid w:val="5E147231"/>
    <w:rsid w:val="5E50344D"/>
    <w:rsid w:val="5F3602B2"/>
    <w:rsid w:val="5FB91B36"/>
    <w:rsid w:val="5FC87BE6"/>
    <w:rsid w:val="604343C9"/>
    <w:rsid w:val="604C6062"/>
    <w:rsid w:val="609A3BFB"/>
    <w:rsid w:val="613A4B6E"/>
    <w:rsid w:val="61483563"/>
    <w:rsid w:val="617E796A"/>
    <w:rsid w:val="623533C8"/>
    <w:rsid w:val="632A1BF0"/>
    <w:rsid w:val="63914163"/>
    <w:rsid w:val="639F3DFF"/>
    <w:rsid w:val="64830433"/>
    <w:rsid w:val="64B80B33"/>
    <w:rsid w:val="64DC2DAF"/>
    <w:rsid w:val="65A0578C"/>
    <w:rsid w:val="65C1722A"/>
    <w:rsid w:val="65C46ED5"/>
    <w:rsid w:val="66675B0C"/>
    <w:rsid w:val="666F5FBE"/>
    <w:rsid w:val="66C33529"/>
    <w:rsid w:val="66FE2AAA"/>
    <w:rsid w:val="6726021A"/>
    <w:rsid w:val="675B6D5A"/>
    <w:rsid w:val="67645035"/>
    <w:rsid w:val="676A09D6"/>
    <w:rsid w:val="67C66BC2"/>
    <w:rsid w:val="67DF0A5D"/>
    <w:rsid w:val="681B1E1D"/>
    <w:rsid w:val="68306119"/>
    <w:rsid w:val="68B448A1"/>
    <w:rsid w:val="692F6F00"/>
    <w:rsid w:val="6956758D"/>
    <w:rsid w:val="69887333"/>
    <w:rsid w:val="69BF63A8"/>
    <w:rsid w:val="69C32E7C"/>
    <w:rsid w:val="6A932FA0"/>
    <w:rsid w:val="6B297725"/>
    <w:rsid w:val="6B41743C"/>
    <w:rsid w:val="6BFC74FF"/>
    <w:rsid w:val="6C7F1045"/>
    <w:rsid w:val="6C807FAA"/>
    <w:rsid w:val="6CF53D59"/>
    <w:rsid w:val="6D012001"/>
    <w:rsid w:val="6D3C4BCA"/>
    <w:rsid w:val="6DC73405"/>
    <w:rsid w:val="6DC767B1"/>
    <w:rsid w:val="6ED14EA0"/>
    <w:rsid w:val="6ED74960"/>
    <w:rsid w:val="6F1B502C"/>
    <w:rsid w:val="6F284C48"/>
    <w:rsid w:val="6F336CC2"/>
    <w:rsid w:val="6F562AD3"/>
    <w:rsid w:val="6F901868"/>
    <w:rsid w:val="6FFB75C3"/>
    <w:rsid w:val="70310E6D"/>
    <w:rsid w:val="70815725"/>
    <w:rsid w:val="710555DD"/>
    <w:rsid w:val="71C3272C"/>
    <w:rsid w:val="72031FCA"/>
    <w:rsid w:val="72342A1F"/>
    <w:rsid w:val="726970D4"/>
    <w:rsid w:val="72956E31"/>
    <w:rsid w:val="72EB11CB"/>
    <w:rsid w:val="72F8792D"/>
    <w:rsid w:val="733D2355"/>
    <w:rsid w:val="73484892"/>
    <w:rsid w:val="737A3E53"/>
    <w:rsid w:val="737D184C"/>
    <w:rsid w:val="73EA439F"/>
    <w:rsid w:val="74720CDA"/>
    <w:rsid w:val="74B14359"/>
    <w:rsid w:val="753C5528"/>
    <w:rsid w:val="760B7C6C"/>
    <w:rsid w:val="766E0709"/>
    <w:rsid w:val="76FE63AE"/>
    <w:rsid w:val="77A54B75"/>
    <w:rsid w:val="77FA5A94"/>
    <w:rsid w:val="78640DAD"/>
    <w:rsid w:val="79014545"/>
    <w:rsid w:val="791E3C0C"/>
    <w:rsid w:val="79640492"/>
    <w:rsid w:val="79F10FA8"/>
    <w:rsid w:val="7AB8241B"/>
    <w:rsid w:val="7B867DE1"/>
    <w:rsid w:val="7B93187E"/>
    <w:rsid w:val="7BD824D3"/>
    <w:rsid w:val="7BE002D7"/>
    <w:rsid w:val="7BE21DBE"/>
    <w:rsid w:val="7BFE79C4"/>
    <w:rsid w:val="7CA30D65"/>
    <w:rsid w:val="7CB44CF4"/>
    <w:rsid w:val="7D022E85"/>
    <w:rsid w:val="7D4F0BAF"/>
    <w:rsid w:val="7D566CB5"/>
    <w:rsid w:val="7DB56583"/>
    <w:rsid w:val="7DEB3EEE"/>
    <w:rsid w:val="7EB4235F"/>
    <w:rsid w:val="7EE11EE3"/>
    <w:rsid w:val="7F9B35C2"/>
    <w:rsid w:val="7FEE29F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7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82"/>
    <w:unhideWhenUsed/>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link w:val="81"/>
    <w:unhideWhenUsed/>
    <w:qFormat/>
    <w:uiPriority w:val="9"/>
    <w:pPr>
      <w:keepNext/>
      <w:keepLines/>
      <w:spacing w:before="260" w:after="260" w:line="416" w:lineRule="auto"/>
      <w:outlineLvl w:val="2"/>
    </w:pPr>
    <w:rPr>
      <w:b/>
      <w:bCs/>
      <w:sz w:val="32"/>
      <w:szCs w:val="32"/>
    </w:rPr>
  </w:style>
  <w:style w:type="character" w:default="1" w:styleId="36">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2">
    <w:name w:val="Body Text Indent 2"/>
    <w:basedOn w:val="1"/>
    <w:unhideWhenUsed/>
    <w:qFormat/>
    <w:uiPriority w:val="99"/>
    <w:pPr>
      <w:spacing w:after="120" w:line="480" w:lineRule="auto"/>
      <w:ind w:left="420" w:leftChars="200"/>
    </w:pPr>
  </w:style>
  <w:style w:type="paragraph" w:styleId="6">
    <w:name w:val="caption"/>
    <w:basedOn w:val="1"/>
    <w:next w:val="1"/>
    <w:qFormat/>
    <w:uiPriority w:val="35"/>
    <w:rPr>
      <w:rFonts w:ascii="Cambria" w:hAnsi="Cambria" w:eastAsia="黑体"/>
      <w:sz w:val="20"/>
      <w:szCs w:val="20"/>
    </w:rPr>
  </w:style>
  <w:style w:type="paragraph" w:styleId="7">
    <w:name w:val="annotation text"/>
    <w:basedOn w:val="1"/>
    <w:link w:val="77"/>
    <w:qFormat/>
    <w:uiPriority w:val="0"/>
    <w:pPr>
      <w:jc w:val="left"/>
    </w:pPr>
    <w:rPr>
      <w:rFonts w:ascii="Calibri" w:hAnsi="Calibri" w:eastAsia="宋体" w:cs="Times New Roman"/>
      <w:szCs w:val="24"/>
    </w:rPr>
  </w:style>
  <w:style w:type="paragraph" w:styleId="8">
    <w:name w:val="toc 3"/>
    <w:basedOn w:val="1"/>
    <w:next w:val="1"/>
    <w:unhideWhenUsed/>
    <w:qFormat/>
    <w:uiPriority w:val="39"/>
    <w:pPr>
      <w:ind w:left="840" w:leftChars="400"/>
    </w:pPr>
  </w:style>
  <w:style w:type="paragraph" w:styleId="9">
    <w:name w:val="Balloon Text"/>
    <w:basedOn w:val="1"/>
    <w:link w:val="73"/>
    <w:unhideWhenUsed/>
    <w:qFormat/>
    <w:uiPriority w:val="99"/>
    <w:rPr>
      <w:sz w:val="18"/>
      <w:szCs w:val="18"/>
    </w:rPr>
  </w:style>
  <w:style w:type="paragraph" w:styleId="10">
    <w:name w:val="footer"/>
    <w:basedOn w:val="1"/>
    <w:link w:val="69"/>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68"/>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12">
    <w:name w:val="toc 1"/>
    <w:basedOn w:val="1"/>
    <w:next w:val="1"/>
    <w:unhideWhenUsed/>
    <w:qFormat/>
    <w:uiPriority w:val="39"/>
  </w:style>
  <w:style w:type="paragraph" w:styleId="13">
    <w:name w:val="toc 4"/>
    <w:basedOn w:val="1"/>
    <w:next w:val="1"/>
    <w:unhideWhenUsed/>
    <w:qFormat/>
    <w:uiPriority w:val="39"/>
    <w:pPr>
      <w:ind w:left="1260" w:leftChars="600"/>
    </w:pPr>
  </w:style>
  <w:style w:type="paragraph" w:styleId="14">
    <w:name w:val="footnote text"/>
    <w:basedOn w:val="1"/>
    <w:link w:val="74"/>
    <w:unhideWhenUsed/>
    <w:qFormat/>
    <w:uiPriority w:val="0"/>
    <w:pPr>
      <w:widowControl/>
      <w:jc w:val="left"/>
    </w:pPr>
    <w:rPr>
      <w:kern w:val="0"/>
      <w:sz w:val="20"/>
      <w:szCs w:val="20"/>
    </w:rPr>
  </w:style>
  <w:style w:type="paragraph" w:styleId="15">
    <w:name w:val="toc 2"/>
    <w:basedOn w:val="1"/>
    <w:next w:val="1"/>
    <w:unhideWhenUsed/>
    <w:qFormat/>
    <w:uiPriority w:val="39"/>
    <w:pPr>
      <w:ind w:left="420" w:leftChars="200"/>
    </w:pPr>
  </w:style>
  <w:style w:type="paragraph" w:styleId="16">
    <w:name w:val="Body Text 2"/>
    <w:basedOn w:val="1"/>
    <w:qFormat/>
    <w:uiPriority w:val="0"/>
    <w:pPr>
      <w:spacing w:line="360" w:lineRule="exact"/>
    </w:pPr>
    <w:rPr>
      <w:rFonts w:ascii="宋体" w:hAnsi="宋体" w:eastAsia="宋体" w:cs="Times New Roman"/>
      <w:b/>
      <w:bCs/>
      <w:sz w:val="24"/>
    </w:r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9">
    <w:name w:val="Table Grid"/>
    <w:basedOn w:val="1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20">
    <w:name w:val="Light List Accent 2"/>
    <w:basedOn w:val="18"/>
    <w:qFormat/>
    <w:uiPriority w:val="61"/>
    <w:tblPr>
      <w:tblBorders>
        <w:top w:val="single" w:color="C0504D" w:sz="8" w:space="0"/>
        <w:left w:val="single" w:color="C0504D" w:sz="8" w:space="0"/>
        <w:bottom w:val="single" w:color="C0504D" w:sz="8" w:space="0"/>
        <w:right w:val="single" w:color="C0504D"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Horz">
      <w:tbl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style>
  <w:style w:type="table" w:styleId="21">
    <w:name w:val="Light List Accent 4"/>
    <w:basedOn w:val="18"/>
    <w:qFormat/>
    <w:uiPriority w:val="61"/>
    <w:tblPr>
      <w:tblBorders>
        <w:top w:val="single" w:color="8064A2" w:sz="8" w:space="0"/>
        <w:left w:val="single" w:color="8064A2" w:sz="8" w:space="0"/>
        <w:bottom w:val="single" w:color="8064A2" w:sz="8" w:space="0"/>
        <w:right w:val="single" w:color="8064A2"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Horz">
      <w:tbl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style>
  <w:style w:type="table" w:styleId="22">
    <w:name w:val="Light List Accent 6"/>
    <w:basedOn w:val="18"/>
    <w:qFormat/>
    <w:uiPriority w:val="61"/>
    <w:tblPr>
      <w:tblBorders>
        <w:top w:val="single" w:color="F79646" w:sz="8" w:space="0"/>
        <w:left w:val="single" w:color="F79646" w:sz="8" w:space="0"/>
        <w:bottom w:val="single" w:color="F79646" w:sz="8" w:space="0"/>
        <w:right w:val="single" w:color="F79646"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tblStylePr w:type="band1Horz">
      <w:tbl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style>
  <w:style w:type="table" w:styleId="23">
    <w:name w:val="Light Grid Accent 2"/>
    <w:basedOn w:val="18"/>
    <w:qFormat/>
    <w:uiPriority w:val="62"/>
    <w:pPr>
      <w:jc w:val="both"/>
    </w:p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
    <w:tblStylePr w:type="firstRow">
      <w:pPr>
        <w:spacing w:before="0" w:after="0" w:line="240" w:lineRule="auto"/>
      </w:pPr>
      <w:rPr>
        <w:rFonts w:ascii="Cambria" w:hAnsi="Cambria" w:eastAsia="宋体" w:cs="Times New Roman"/>
        <w:b/>
        <w:bCs/>
      </w:rPr>
      <w:tblPr/>
      <w:tcPr>
        <w:tcBorders>
          <w:top w:val="single" w:color="C0504D" w:sz="8" w:space="0"/>
          <w:left w:val="single" w:color="C0504D" w:sz="8" w:space="0"/>
          <w:bottom w:val="single" w:color="C0504D" w:sz="18" w:space="0"/>
          <w:right w:val="single" w:color="C0504D" w:sz="8" w:space="0"/>
          <w:insideH w:val="nil"/>
          <w:insideV w:val="single" w:sz="8" w:space="0"/>
          <w:tl2br w:val="nil"/>
          <w:tr2bl w:val="nil"/>
        </w:tcBorders>
      </w:tcPr>
    </w:tblStylePr>
    <w:tblStylePr w:type="lastRow">
      <w:pPr>
        <w:spacing w:before="0" w:after="0" w:line="240" w:lineRule="auto"/>
      </w:pPr>
      <w:rPr>
        <w:rFonts w:ascii="Cambria" w:hAnsi="Cambria" w:eastAsia="宋体"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l2br w:val="nil"/>
          <w:tr2bl w:val="nil"/>
        </w:tcBorders>
      </w:tcPr>
    </w:tblStylePr>
    <w:tblStylePr w:type="firstCol">
      <w:rPr>
        <w:rFonts w:ascii="Cambria" w:hAnsi="Cambria" w:eastAsia="宋体" w:cs="Times New Roman"/>
        <w:b/>
        <w:bCs/>
      </w:rPr>
    </w:tblStylePr>
    <w:tblStylePr w:type="lastCol">
      <w:rPr>
        <w:rFonts w:ascii="Cambria" w:hAnsi="Cambria" w:eastAsia="宋体" w:cs="Times New Roman"/>
        <w:b/>
        <w:bCs/>
      </w:rPr>
      <w:tbl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Vert">
      <w:tblPr/>
      <w:tcPr>
        <w:tcBorders>
          <w:top w:val="single" w:color="C0504D" w:sz="8" w:space="0"/>
          <w:left w:val="single" w:color="C0504D" w:sz="8" w:space="0"/>
          <w:bottom w:val="single" w:color="C0504D" w:sz="8" w:space="0"/>
          <w:right w:val="single" w:color="C0504D" w:sz="8" w:space="0"/>
          <w:insideH w:val="nil"/>
          <w:insideV w:val="nil"/>
          <w:tl2br w:val="nil"/>
          <w:tr2bl w:val="nil"/>
        </w:tcBorders>
        <w:shd w:val="clear" w:color="auto" w:fill="EFD3D3"/>
      </w:tcPr>
    </w:tblStylePr>
    <w:tblStylePr w:type="band1Horz">
      <w:tblPr/>
      <w:tcPr>
        <w:tcBorders>
          <w:top w:val="single" w:color="C0504D" w:sz="8" w:space="0"/>
          <w:left w:val="single" w:color="C0504D" w:sz="8" w:space="0"/>
          <w:bottom w:val="single" w:color="C0504D" w:sz="8" w:space="0"/>
          <w:right w:val="single" w:color="C0504D" w:sz="8" w:space="0"/>
          <w:insideH w:val="nil"/>
          <w:insideV w:val="single" w:sz="8" w:space="0"/>
          <w:tl2br w:val="nil"/>
          <w:tr2bl w:val="nil"/>
        </w:tcBorders>
        <w:shd w:val="clear" w:color="auto" w:fill="EFD3D3"/>
      </w:tcPr>
    </w:tblStylePr>
    <w:tblStylePr w:type="band2Horz">
      <w:tblPr/>
      <w:tcPr>
        <w:tcBorders>
          <w:top w:val="single" w:color="C0504D" w:sz="8" w:space="0"/>
          <w:left w:val="single" w:color="C0504D" w:sz="8" w:space="0"/>
          <w:bottom w:val="single" w:color="C0504D" w:sz="8" w:space="0"/>
          <w:right w:val="single" w:color="C0504D" w:sz="8" w:space="0"/>
          <w:insideH w:val="nil"/>
          <w:insideV w:val="single" w:sz="8" w:space="0"/>
          <w:tl2br w:val="nil"/>
          <w:tr2bl w:val="nil"/>
        </w:tcBorders>
      </w:tcPr>
    </w:tblStylePr>
  </w:style>
  <w:style w:type="table" w:styleId="24">
    <w:name w:val="Light Grid Accent 3"/>
    <w:basedOn w:val="18"/>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CellMar>
        <w:top w:w="0" w:type="dxa"/>
        <w:left w:w="108" w:type="dxa"/>
        <w:bottom w:w="0" w:type="dxa"/>
        <w:right w:w="108" w:type="dxa"/>
      </w:tblCellMar>
    </w:tblPr>
    <w:tblStylePr w:type="firstRow">
      <w:pPr>
        <w:spacing w:before="0" w:after="0" w:line="240" w:lineRule="auto"/>
      </w:pPr>
      <w:rPr>
        <w:rFonts w:ascii="Cambria" w:hAnsi="Cambria" w:eastAsia="宋体" w:cs="Times New Roman"/>
        <w:b/>
        <w:bCs/>
      </w:rPr>
      <w:tblPr/>
      <w:tcPr>
        <w:tcBorders>
          <w:top w:val="single" w:color="9BBB59" w:sz="8" w:space="0"/>
          <w:left w:val="single" w:color="9BBB59" w:sz="8" w:space="0"/>
          <w:bottom w:val="single" w:color="9BBB59" w:sz="18" w:space="0"/>
          <w:right w:val="single" w:color="9BBB59" w:sz="8" w:space="0"/>
          <w:insideH w:val="nil"/>
          <w:insideV w:val="single" w:sz="8" w:space="0"/>
          <w:tl2br w:val="nil"/>
          <w:tr2bl w:val="nil"/>
        </w:tcBorders>
      </w:tcPr>
    </w:tblStylePr>
    <w:tblStylePr w:type="lastRow">
      <w:pPr>
        <w:spacing w:before="0" w:after="0" w:line="240" w:lineRule="auto"/>
      </w:pPr>
      <w:rPr>
        <w:rFonts w:ascii="Cambria" w:hAnsi="Cambria" w:eastAsia="宋体"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l2br w:val="nil"/>
          <w:tr2bl w:val="nil"/>
        </w:tcBorders>
      </w:tcPr>
    </w:tblStylePr>
    <w:tblStylePr w:type="firstCol">
      <w:rPr>
        <w:rFonts w:ascii="Cambria" w:hAnsi="Cambria" w:eastAsia="宋体" w:cs="Times New Roman"/>
        <w:b/>
        <w:bCs/>
      </w:rPr>
    </w:tblStylePr>
    <w:tblStylePr w:type="lastCol">
      <w:rPr>
        <w:rFonts w:ascii="Cambria" w:hAnsi="Cambria" w:eastAsia="宋体" w:cs="Times New Roman"/>
        <w:b/>
        <w:bCs/>
      </w:rPr>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Vert">
      <w:tblPr/>
      <w:tcPr>
        <w:tcBorders>
          <w:top w:val="single" w:color="9BBB59" w:sz="8" w:space="0"/>
          <w:left w:val="single" w:color="9BBB59" w:sz="8" w:space="0"/>
          <w:bottom w:val="single" w:color="9BBB59" w:sz="8" w:space="0"/>
          <w:right w:val="single" w:color="9BBB59" w:sz="8" w:space="0"/>
          <w:insideH w:val="nil"/>
          <w:insideV w:val="nil"/>
          <w:tl2br w:val="nil"/>
          <w:tr2bl w:val="nil"/>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H w:val="nil"/>
          <w:insideV w:val="single" w:sz="8" w:space="0"/>
          <w:tl2br w:val="nil"/>
          <w:tr2bl w:val="nil"/>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H w:val="nil"/>
          <w:insideV w:val="single" w:sz="8" w:space="0"/>
          <w:tl2br w:val="nil"/>
          <w:tr2bl w:val="nil"/>
        </w:tcBorders>
      </w:tcPr>
    </w:tblStylePr>
  </w:style>
  <w:style w:type="table" w:styleId="25">
    <w:name w:val="Light Grid Accent 4"/>
    <w:basedOn w:val="18"/>
    <w:qFormat/>
    <w:uiPriority w:val="62"/>
    <w:pPr>
      <w:spacing w:beforeAutospacing="1" w:afterAutospacing="1"/>
    </w:pPr>
    <w:rPr>
      <w:rFonts w:ascii="Calibri" w:hAnsi="Calibri" w:eastAsia="宋体" w:cs="Times New Roman"/>
      <w:kern w:val="2"/>
      <w:sz w:val="21"/>
      <w:szCs w:val="22"/>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
    <w:tblStylePr w:type="firstRow">
      <w:pPr>
        <w:spacing w:before="0" w:after="0" w:line="240" w:lineRule="auto"/>
      </w:pPr>
      <w:rPr>
        <w:rFonts w:ascii="Cambria" w:hAnsi="Cambria" w:eastAsia="宋体" w:cs="Times New Roman"/>
        <w:b/>
        <w:bCs/>
      </w:rPr>
      <w:tblPr/>
      <w:tcPr>
        <w:tcBorders>
          <w:top w:val="single" w:color="8064A2" w:sz="8" w:space="0"/>
          <w:left w:val="single" w:color="8064A2" w:sz="8" w:space="0"/>
          <w:bottom w:val="single" w:color="8064A2" w:sz="18" w:space="0"/>
          <w:right w:val="single" w:color="8064A2" w:sz="8" w:space="0"/>
          <w:insideH w:val="nil"/>
          <w:insideV w:val="single" w:sz="8" w:space="0"/>
          <w:tl2br w:val="nil"/>
          <w:tr2bl w:val="nil"/>
        </w:tcBorders>
      </w:tcPr>
    </w:tblStylePr>
    <w:tblStylePr w:type="lastRow">
      <w:pPr>
        <w:spacing w:before="0" w:after="0" w:line="240" w:lineRule="auto"/>
      </w:pPr>
      <w:rPr>
        <w:rFonts w:ascii="Cambria" w:hAnsi="Cambria" w:eastAsia="宋体"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l2br w:val="nil"/>
          <w:tr2bl w:val="nil"/>
        </w:tcBorders>
      </w:tcPr>
    </w:tblStylePr>
    <w:tblStylePr w:type="firstCol">
      <w:rPr>
        <w:rFonts w:ascii="Cambria" w:hAnsi="Cambria" w:eastAsia="宋体" w:cs="Times New Roman"/>
        <w:b/>
        <w:bCs/>
      </w:rPr>
    </w:tblStylePr>
    <w:tblStylePr w:type="lastCol">
      <w:rPr>
        <w:rFonts w:ascii="Cambria" w:hAnsi="Cambria" w:eastAsia="宋体" w:cs="Times New Roman"/>
        <w:b/>
        <w:bCs/>
      </w:rPr>
      <w:tbl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Vert">
      <w:tblPr/>
      <w:tcPr>
        <w:tcBorders>
          <w:top w:val="single" w:color="8064A2" w:sz="8" w:space="0"/>
          <w:left w:val="single" w:color="8064A2" w:sz="8" w:space="0"/>
          <w:bottom w:val="single" w:color="8064A2" w:sz="8" w:space="0"/>
          <w:right w:val="single" w:color="8064A2" w:sz="8" w:space="0"/>
          <w:insideH w:val="nil"/>
          <w:insideV w:val="nil"/>
          <w:tl2br w:val="nil"/>
          <w:tr2bl w:val="nil"/>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H w:val="nil"/>
          <w:insideV w:val="single" w:sz="8" w:space="0"/>
          <w:tl2br w:val="nil"/>
          <w:tr2bl w:val="nil"/>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H w:val="nil"/>
          <w:insideV w:val="single" w:sz="8" w:space="0"/>
          <w:tl2br w:val="nil"/>
          <w:tr2bl w:val="nil"/>
        </w:tcBorders>
      </w:tcPr>
    </w:tblStylePr>
  </w:style>
  <w:style w:type="table" w:styleId="26">
    <w:name w:val="Light Grid Accent 5"/>
    <w:basedOn w:val="18"/>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CellMar>
        <w:top w:w="0" w:type="dxa"/>
        <w:left w:w="108" w:type="dxa"/>
        <w:bottom w:w="0" w:type="dxa"/>
        <w:right w:w="108" w:type="dxa"/>
      </w:tblCellMar>
    </w:tblPr>
    <w:tblStylePr w:type="firstRow">
      <w:pPr>
        <w:spacing w:before="0" w:after="0" w:line="240" w:lineRule="auto"/>
      </w:pPr>
      <w:rPr>
        <w:rFonts w:ascii="Cambria" w:hAnsi="Cambria" w:eastAsia="宋体" w:cs="Times New Roman"/>
        <w:b/>
        <w:bCs/>
      </w:rPr>
      <w:tblPr/>
      <w:tcPr>
        <w:tcBorders>
          <w:top w:val="single" w:color="4BACC6" w:sz="8" w:space="0"/>
          <w:left w:val="single" w:color="4BACC6" w:sz="8" w:space="0"/>
          <w:bottom w:val="single" w:color="4BACC6" w:sz="18" w:space="0"/>
          <w:right w:val="single" w:color="4BACC6" w:sz="8" w:space="0"/>
          <w:insideH w:val="nil"/>
          <w:insideV w:val="single" w:sz="8" w:space="0"/>
          <w:tl2br w:val="nil"/>
          <w:tr2bl w:val="nil"/>
        </w:tcBorders>
      </w:tcPr>
    </w:tblStylePr>
    <w:tblStylePr w:type="lastRow">
      <w:pPr>
        <w:spacing w:before="0" w:after="0" w:line="240" w:lineRule="auto"/>
      </w:pPr>
      <w:rPr>
        <w:rFonts w:ascii="Cambria" w:hAnsi="Cambria" w:eastAsia="宋体"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l2br w:val="nil"/>
          <w:tr2bl w:val="nil"/>
        </w:tcBorders>
      </w:tcPr>
    </w:tblStylePr>
    <w:tblStylePr w:type="firstCol">
      <w:rPr>
        <w:rFonts w:ascii="Cambria" w:hAnsi="Cambria" w:eastAsia="宋体" w:cs="Times New Roman"/>
        <w:b/>
        <w:bCs/>
      </w:rPr>
    </w:tblStylePr>
    <w:tblStylePr w:type="lastCol">
      <w:rPr>
        <w:rFonts w:ascii="Cambria" w:hAnsi="Cambria" w:eastAsia="宋体" w:cs="Times New Roman"/>
        <w:b/>
        <w:bCs/>
      </w:rPr>
      <w:tbl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Vert">
      <w:tblPr/>
      <w:tcPr>
        <w:tcBorders>
          <w:top w:val="single" w:color="4BACC6" w:sz="8" w:space="0"/>
          <w:left w:val="single" w:color="4BACC6" w:sz="8" w:space="0"/>
          <w:bottom w:val="single" w:color="4BACC6" w:sz="8" w:space="0"/>
          <w:right w:val="single" w:color="4BACC6" w:sz="8" w:space="0"/>
          <w:insideH w:val="nil"/>
          <w:insideV w:val="nil"/>
          <w:tl2br w:val="nil"/>
          <w:tr2bl w:val="nil"/>
        </w:tcBorders>
        <w:shd w:val="clear" w:color="auto" w:fill="D2EAF0"/>
      </w:tcPr>
    </w:tblStylePr>
    <w:tblStylePr w:type="band1Horz">
      <w:tbl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shd w:val="clear" w:color="auto" w:fill="D2EAF0"/>
      </w:tcPr>
    </w:tblStylePr>
    <w:tblStylePr w:type="band2Horz">
      <w:tbl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tcPr>
    </w:tblStylePr>
  </w:style>
  <w:style w:type="table" w:styleId="27">
    <w:name w:val="Medium Shading 1 Accent 2"/>
    <w:basedOn w:val="18"/>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l2br w:val="nil"/>
          <w:tr2bl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3"/>
      </w:tcPr>
    </w:tblStylePr>
    <w:tblStylePr w:type="band1Horz">
      <w:tblPr/>
      <w:tcPr>
        <w:tcBorders>
          <w:top w:val="nil"/>
          <w:left w:val="nil"/>
          <w:bottom w:val="nil"/>
          <w:right w:val="nil"/>
          <w:insideH w:val="nil"/>
          <w:insideV w:val="nil"/>
          <w:tl2br w:val="nil"/>
          <w:tr2bl w:val="nil"/>
        </w:tcBorders>
        <w:shd w:val="clear" w:color="auto" w:fill="EFD3D3"/>
      </w:tcPr>
    </w:tblStylePr>
    <w:tblStylePr w:type="band2Horz">
      <w:tblPr/>
      <w:tcPr>
        <w:tcBorders>
          <w:top w:val="nil"/>
          <w:left w:val="nil"/>
          <w:bottom w:val="nil"/>
          <w:right w:val="nil"/>
          <w:insideH w:val="nil"/>
          <w:insideV w:val="nil"/>
          <w:tl2br w:val="nil"/>
          <w:tr2bl w:val="nil"/>
        </w:tcBorders>
      </w:tcPr>
    </w:tblStylePr>
  </w:style>
  <w:style w:type="table" w:styleId="28">
    <w:name w:val="Medium Shading 2 Accent 2"/>
    <w:basedOn w:val="18"/>
    <w:qFormat/>
    <w:uiPriority w:val="64"/>
    <w:pPr>
      <w:jc w:val="both"/>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l2br w:val="nil"/>
          <w:tr2bl w:val="nil"/>
        </w:tcBorders>
        <w:shd w:val="clear" w:color="auto" w:fill="C0504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l2br w:val="nil"/>
          <w:tr2bl w:val="nil"/>
        </w:tcBorders>
        <w:shd w:val="clear" w:color="auto" w:fill="C0504D"/>
      </w:tcPr>
    </w:tblStylePr>
    <w:tblStylePr w:type="lastCol">
      <w:rPr>
        <w:b/>
        <w:bCs/>
        <w:color w:val="FFFFFF"/>
      </w:rPr>
      <w:tblPr/>
      <w:tcPr>
        <w:tcBorders>
          <w:top w:val="nil"/>
          <w:left w:val="nil"/>
          <w:bottom w:val="nil"/>
          <w:right w:val="nil"/>
          <w:insideH w:val="nil"/>
          <w:insideV w:val="nil"/>
          <w:tl2br w:val="nil"/>
          <w:tr2bl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l2br w:val="nil"/>
          <w:tr2bl w:val="nil"/>
        </w:tcBorders>
      </w:tcPr>
    </w:tblStylePr>
    <w:tblStylePr w:type="nwCell">
      <w:rPr>
        <w:color w:val="FFFFFF"/>
      </w:rPr>
      <w:tblPr/>
      <w:tcPr>
        <w:tcBorders>
          <w:top w:val="single" w:color="auto" w:sz="18" w:space="0"/>
          <w:left w:val="nil"/>
          <w:bottom w:val="single" w:color="auto" w:sz="18" w:space="0"/>
          <w:right w:val="nil"/>
          <w:insideH w:val="nil"/>
          <w:insideV w:val="nil"/>
          <w:tl2br w:val="nil"/>
          <w:tr2bl w:val="nil"/>
        </w:tcBorders>
      </w:tcPr>
    </w:tblStylePr>
  </w:style>
  <w:style w:type="table" w:styleId="29">
    <w:name w:val="Medium Grid 1 Accent 2"/>
    <w:basedOn w:val="18"/>
    <w:qFormat/>
    <w:uiPriority w:val="67"/>
    <w:pPr>
      <w:jc w:val="both"/>
    </w:p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3"/>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30">
    <w:name w:val="Medium Grid 1 Accent 4"/>
    <w:basedOn w:val="18"/>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color="9F8AB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2 Accent 2"/>
    <w:basedOn w:val="18"/>
    <w:qFormat/>
    <w:uiPriority w:val="68"/>
    <w:rPr>
      <w:rFonts w:ascii="Cambria" w:hAnsi="Cambria" w:eastAsia="宋体"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
    <w:tcPr>
      <w:shd w:val="clear" w:color="auto" w:fill="EFD3D3"/>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2DBDB"/>
      </w:tcPr>
    </w:tblStylePr>
    <w:tblStylePr w:type="band1Vert">
      <w:tblPr/>
      <w:tcPr>
        <w:shd w:val="clear" w:color="auto" w:fill="DFA7A6"/>
      </w:tcPr>
    </w:tblStylePr>
    <w:tblStylePr w:type="band1Horz">
      <w:tblPr/>
      <w:tcPr>
        <w:tcBorders>
          <w:top w:val="nil"/>
          <w:left w:val="nil"/>
          <w:bottom w:val="nil"/>
          <w:right w:val="nil"/>
          <w:insideH w:val="single" w:sz="6" w:space="0"/>
          <w:insideV w:val="single" w:sz="6" w:space="0"/>
          <w:tl2br w:val="nil"/>
          <w:tr2bl w:val="nil"/>
        </w:tcBorders>
        <w:shd w:val="clear" w:color="auto" w:fill="DFA7A6"/>
      </w:tcPr>
    </w:tblStylePr>
    <w:tblStylePr w:type="nwCell">
      <w:tblPr/>
      <w:tcPr>
        <w:shd w:val="clear" w:color="auto" w:fill="FFFFFF"/>
      </w:tcPr>
    </w:tblStylePr>
  </w:style>
  <w:style w:type="table" w:styleId="32">
    <w:name w:val="Medium Grid 2 Accent 4"/>
    <w:basedOn w:val="18"/>
    <w:qFormat/>
    <w:uiPriority w:val="68"/>
    <w:rPr>
      <w:rFonts w:ascii="Cambria" w:hAnsi="Cambria" w:eastAsia="宋体"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5"/>
      </w:tcPr>
    </w:tblStylePr>
    <w:tblStylePr w:type="lastRow">
      <w:rPr>
        <w:b/>
        <w:bCs/>
        <w:color w:val="000000"/>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tcBorders>
          <w:top w:val="nil"/>
          <w:left w:val="nil"/>
          <w:bottom w:val="nil"/>
          <w:right w:val="nil"/>
          <w:insideH w:val="single" w:sz="6" w:space="0"/>
          <w:insideV w:val="single" w:sz="6" w:space="0"/>
          <w:tl2br w:val="nil"/>
          <w:tr2bl w:val="nil"/>
        </w:tcBorders>
        <w:shd w:val="clear" w:color="auto" w:fill="BFB1D0"/>
      </w:tcPr>
    </w:tblStylePr>
    <w:tblStylePr w:type="nwCell">
      <w:tblPr/>
      <w:tcPr>
        <w:shd w:val="clear" w:color="auto" w:fill="FFFFFF"/>
      </w:tcPr>
    </w:tblStylePr>
  </w:style>
  <w:style w:type="table" w:styleId="33">
    <w:name w:val="Medium Grid 3 Accent 2"/>
    <w:basedOn w:val="18"/>
    <w:qFormat/>
    <w:uiPriority w:val="69"/>
    <w:pPr>
      <w:jc w:val="both"/>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EFD3D3"/>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C0504D"/>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C0504D"/>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DFA7A6"/>
      </w:tcPr>
    </w:tblStylePr>
  </w:style>
  <w:style w:type="table" w:styleId="34">
    <w:name w:val="Medium Grid 3 Accent 4"/>
    <w:basedOn w:val="18"/>
    <w:qFormat/>
    <w:uiPriority w:val="69"/>
    <w:pPr>
      <w:spacing w:beforeAutospacing="1" w:afterAutospacing="1"/>
    </w:pPr>
    <w:rPr>
      <w:rFonts w:ascii="Calibri" w:hAnsi="Calibri" w:eastAsia="宋体" w:cs="Times New Roman"/>
      <w:kern w:val="2"/>
      <w:sz w:val="21"/>
      <w:szCs w:val="22"/>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8064A2"/>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8064A2"/>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BFB1D0"/>
      </w:tcPr>
    </w:tblStylePr>
  </w:style>
  <w:style w:type="table" w:styleId="35">
    <w:name w:val="Medium Grid 3 Accent 6"/>
    <w:basedOn w:val="1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FDE5D1"/>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F79646"/>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F79646"/>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FBCAA2"/>
      </w:tcPr>
    </w:tblStylePr>
  </w:style>
  <w:style w:type="character" w:styleId="37">
    <w:name w:val="Strong"/>
    <w:basedOn w:val="36"/>
    <w:qFormat/>
    <w:uiPriority w:val="22"/>
    <w:rPr>
      <w:rFonts w:cs="Times New Roman"/>
      <w:b/>
      <w:bCs/>
    </w:rPr>
  </w:style>
  <w:style w:type="character" w:styleId="38">
    <w:name w:val="page number"/>
    <w:basedOn w:val="36"/>
    <w:qFormat/>
    <w:uiPriority w:val="0"/>
  </w:style>
  <w:style w:type="character" w:styleId="39">
    <w:name w:val="FollowedHyperlink"/>
    <w:basedOn w:val="36"/>
    <w:unhideWhenUsed/>
    <w:qFormat/>
    <w:uiPriority w:val="99"/>
    <w:rPr>
      <w:rFonts w:cs="Times New Roman"/>
      <w:color w:val="800080"/>
      <w:u w:val="single"/>
    </w:rPr>
  </w:style>
  <w:style w:type="character" w:styleId="40">
    <w:name w:val="Hyperlink"/>
    <w:basedOn w:val="36"/>
    <w:unhideWhenUsed/>
    <w:qFormat/>
    <w:uiPriority w:val="99"/>
    <w:rPr>
      <w:rFonts w:cs="Times New Roman"/>
      <w:color w:val="0000FF"/>
      <w:u w:val="single"/>
    </w:rPr>
  </w:style>
  <w:style w:type="character" w:styleId="41">
    <w:name w:val="annotation reference"/>
    <w:basedOn w:val="36"/>
    <w:qFormat/>
    <w:uiPriority w:val="0"/>
    <w:rPr>
      <w:sz w:val="21"/>
      <w:szCs w:val="21"/>
    </w:rPr>
  </w:style>
  <w:style w:type="character" w:styleId="42">
    <w:name w:val="footnote reference"/>
    <w:basedOn w:val="36"/>
    <w:semiHidden/>
    <w:qFormat/>
    <w:uiPriority w:val="0"/>
    <w:rPr>
      <w:rFonts w:cs="Times New Roman"/>
      <w:vertAlign w:val="superscript"/>
    </w:rPr>
  </w:style>
  <w:style w:type="paragraph" w:customStyle="1" w:styleId="43">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华文楷体" w:hAnsi="华文楷体" w:eastAsia="华文楷体" w:cs="宋体"/>
      <w:kern w:val="0"/>
      <w:sz w:val="24"/>
      <w:szCs w:val="24"/>
    </w:rPr>
  </w:style>
  <w:style w:type="paragraph" w:customStyle="1" w:styleId="4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4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46">
    <w:name w:val="列出段落1"/>
    <w:basedOn w:val="1"/>
    <w:qFormat/>
    <w:uiPriority w:val="34"/>
    <w:pPr>
      <w:ind w:firstLine="420" w:firstLineChars="200"/>
    </w:pPr>
  </w:style>
  <w:style w:type="paragraph" w:customStyle="1" w:styleId="4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8">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9">
    <w:name w:val="xl63"/>
    <w:basedOn w:val="1"/>
    <w:qFormat/>
    <w:uiPriority w:val="0"/>
    <w:pPr>
      <w:widowControl/>
      <w:spacing w:before="100" w:beforeAutospacing="1" w:after="100" w:afterAutospacing="1"/>
      <w:jc w:val="left"/>
    </w:pPr>
    <w:rPr>
      <w:rFonts w:ascii="宋体" w:hAnsi="宋体" w:cs="宋体"/>
      <w:b/>
      <w:bCs/>
      <w:kern w:val="0"/>
      <w:sz w:val="28"/>
      <w:szCs w:val="28"/>
    </w:rPr>
  </w:style>
  <w:style w:type="paragraph" w:customStyle="1" w:styleId="50">
    <w:name w:val="xl64"/>
    <w:basedOn w:val="1"/>
    <w:qFormat/>
    <w:uiPriority w:val="0"/>
    <w:pPr>
      <w:widowControl/>
      <w:spacing w:before="100" w:beforeAutospacing="1" w:after="100" w:afterAutospacing="1"/>
      <w:jc w:val="left"/>
      <w:textAlignment w:val="bottom"/>
    </w:pPr>
    <w:rPr>
      <w:rFonts w:ascii="宋体" w:hAnsi="宋体" w:cs="宋体"/>
      <w:kern w:val="0"/>
      <w:sz w:val="24"/>
      <w:szCs w:val="24"/>
    </w:rPr>
  </w:style>
  <w:style w:type="paragraph" w:customStyle="1" w:styleId="51">
    <w:name w:val="xl65"/>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52">
    <w:name w:val="xl66"/>
    <w:basedOn w:val="1"/>
    <w:qFormat/>
    <w:uiPriority w:val="0"/>
    <w:pPr>
      <w:widowControl/>
      <w:spacing w:before="100" w:beforeAutospacing="1" w:after="100" w:afterAutospacing="1"/>
      <w:jc w:val="center"/>
    </w:pPr>
    <w:rPr>
      <w:rFonts w:ascii="华文楷体" w:hAnsi="华文楷体" w:eastAsia="华文楷体" w:cs="宋体"/>
      <w:kern w:val="0"/>
      <w:sz w:val="24"/>
      <w:szCs w:val="24"/>
    </w:rPr>
  </w:style>
  <w:style w:type="paragraph" w:customStyle="1" w:styleId="53">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54">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华文楷体" w:hAnsi="华文楷体" w:eastAsia="华文楷体" w:cs="宋体"/>
      <w:kern w:val="0"/>
      <w:sz w:val="24"/>
      <w:szCs w:val="24"/>
    </w:rPr>
  </w:style>
  <w:style w:type="paragraph" w:customStyle="1" w:styleId="55">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56">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b/>
      <w:bCs/>
      <w:kern w:val="0"/>
      <w:sz w:val="24"/>
      <w:szCs w:val="24"/>
    </w:rPr>
  </w:style>
  <w:style w:type="paragraph" w:customStyle="1" w:styleId="57">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kern w:val="0"/>
      <w:sz w:val="24"/>
      <w:szCs w:val="24"/>
    </w:rPr>
  </w:style>
  <w:style w:type="paragraph" w:customStyle="1" w:styleId="58">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仿宋" w:hAnsi="华文仿宋" w:eastAsia="华文仿宋" w:cs="宋体"/>
      <w:kern w:val="0"/>
      <w:sz w:val="24"/>
      <w:szCs w:val="24"/>
    </w:rPr>
  </w:style>
  <w:style w:type="paragraph" w:customStyle="1" w:styleId="59">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仿宋" w:hAnsi="华文仿宋" w:eastAsia="华文仿宋" w:cs="宋体"/>
      <w:kern w:val="0"/>
      <w:sz w:val="24"/>
      <w:szCs w:val="24"/>
    </w:rPr>
  </w:style>
  <w:style w:type="paragraph" w:customStyle="1" w:styleId="60">
    <w:name w:val="xl7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61">
    <w:name w:val="xl78"/>
    <w:basedOn w:val="1"/>
    <w:qFormat/>
    <w:uiPriority w:val="0"/>
    <w:pPr>
      <w:widowControl/>
      <w:pBdr>
        <w:bottom w:val="single" w:color="auto" w:sz="4" w:space="0"/>
      </w:pBdr>
      <w:spacing w:before="100" w:beforeAutospacing="1" w:after="100" w:afterAutospacing="1"/>
      <w:jc w:val="center"/>
    </w:pPr>
    <w:rPr>
      <w:rFonts w:ascii="黑体" w:hAnsi="宋体" w:eastAsia="黑体" w:cs="宋体"/>
      <w:b/>
      <w:bCs/>
      <w:kern w:val="0"/>
      <w:sz w:val="32"/>
      <w:szCs w:val="32"/>
    </w:rPr>
  </w:style>
  <w:style w:type="paragraph" w:customStyle="1" w:styleId="62">
    <w:name w:val="Decimal Aligned"/>
    <w:basedOn w:val="1"/>
    <w:qFormat/>
    <w:uiPriority w:val="40"/>
    <w:pPr>
      <w:widowControl/>
      <w:tabs>
        <w:tab w:val="decimal" w:pos="360"/>
      </w:tabs>
      <w:spacing w:after="200" w:line="276" w:lineRule="auto"/>
      <w:jc w:val="left"/>
    </w:pPr>
    <w:rPr>
      <w:kern w:val="0"/>
      <w:sz w:val="22"/>
    </w:rPr>
  </w:style>
  <w:style w:type="paragraph" w:customStyle="1" w:styleId="63">
    <w:name w:val="TOC 标题1"/>
    <w:basedOn w:val="3"/>
    <w:next w:val="1"/>
    <w:unhideWhenUsed/>
    <w:qFormat/>
    <w:uiPriority w:val="39"/>
    <w:pPr>
      <w:widowControl/>
      <w:spacing w:before="480" w:after="0" w:line="276" w:lineRule="auto"/>
      <w:jc w:val="left"/>
      <w:outlineLvl w:val="9"/>
    </w:pPr>
    <w:rPr>
      <w:rFonts w:ascii="Cambria" w:hAnsi="Cambria"/>
      <w:color w:val="366091"/>
      <w:kern w:val="0"/>
      <w:sz w:val="28"/>
      <w:szCs w:val="28"/>
    </w:rPr>
  </w:style>
  <w:style w:type="paragraph" w:customStyle="1" w:styleId="6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65">
    <w:name w:val="Char"/>
    <w:basedOn w:val="1"/>
    <w:qFormat/>
    <w:uiPriority w:val="0"/>
    <w:pPr>
      <w:spacing w:line="360" w:lineRule="auto"/>
      <w:ind w:firstLine="420"/>
    </w:pPr>
    <w:rPr>
      <w:rFonts w:ascii="Times New Roman" w:hAnsi="Times New Roman"/>
      <w:szCs w:val="20"/>
    </w:rPr>
  </w:style>
  <w:style w:type="paragraph" w:customStyle="1" w:styleId="66">
    <w:name w:val="p15"/>
    <w:basedOn w:val="1"/>
    <w:qFormat/>
    <w:uiPriority w:val="0"/>
    <w:pPr>
      <w:widowControl/>
    </w:pPr>
    <w:rPr>
      <w:rFonts w:ascii="Times New Roman" w:hAnsi="Times New Roman"/>
      <w:kern w:val="0"/>
      <w:szCs w:val="21"/>
    </w:rPr>
  </w:style>
  <w:style w:type="paragraph" w:customStyle="1" w:styleId="67">
    <w:name w:val="列出段落2"/>
    <w:basedOn w:val="1"/>
    <w:qFormat/>
    <w:uiPriority w:val="34"/>
    <w:pPr>
      <w:ind w:firstLine="420" w:firstLineChars="200"/>
    </w:pPr>
  </w:style>
  <w:style w:type="character" w:customStyle="1" w:styleId="68">
    <w:name w:val="页眉 Char"/>
    <w:basedOn w:val="36"/>
    <w:link w:val="11"/>
    <w:qFormat/>
    <w:uiPriority w:val="99"/>
    <w:rPr>
      <w:sz w:val="18"/>
      <w:szCs w:val="18"/>
    </w:rPr>
  </w:style>
  <w:style w:type="character" w:customStyle="1" w:styleId="69">
    <w:name w:val="页脚 Char"/>
    <w:basedOn w:val="36"/>
    <w:link w:val="10"/>
    <w:qFormat/>
    <w:uiPriority w:val="99"/>
    <w:rPr>
      <w:sz w:val="18"/>
      <w:szCs w:val="18"/>
    </w:rPr>
  </w:style>
  <w:style w:type="character" w:customStyle="1" w:styleId="70">
    <w:name w:val="标题 1 Char"/>
    <w:basedOn w:val="36"/>
    <w:link w:val="3"/>
    <w:qFormat/>
    <w:uiPriority w:val="9"/>
    <w:rPr>
      <w:rFonts w:ascii="Calibri" w:hAnsi="Calibri" w:eastAsia="宋体" w:cs="Times New Roman"/>
      <w:b/>
      <w:bCs/>
      <w:kern w:val="44"/>
      <w:sz w:val="44"/>
      <w:szCs w:val="44"/>
    </w:rPr>
  </w:style>
  <w:style w:type="character" w:customStyle="1" w:styleId="71">
    <w:name w:val="脚注文本 Char"/>
    <w:basedOn w:val="36"/>
    <w:link w:val="14"/>
    <w:qFormat/>
    <w:uiPriority w:val="0"/>
    <w:rPr>
      <w:rFonts w:ascii="Calibri" w:hAnsi="Calibri" w:eastAsia="宋体" w:cs="Times New Roman"/>
      <w:sz w:val="18"/>
      <w:szCs w:val="18"/>
    </w:rPr>
  </w:style>
  <w:style w:type="character" w:customStyle="1" w:styleId="72">
    <w:name w:val="批注框文本 Char"/>
    <w:basedOn w:val="36"/>
    <w:link w:val="9"/>
    <w:qFormat/>
    <w:uiPriority w:val="99"/>
    <w:rPr>
      <w:rFonts w:ascii="Calibri" w:hAnsi="Calibri" w:eastAsia="宋体" w:cs="Times New Roman"/>
      <w:sz w:val="18"/>
      <w:szCs w:val="18"/>
    </w:rPr>
  </w:style>
  <w:style w:type="character" w:customStyle="1" w:styleId="73">
    <w:name w:val="批注框文本 Char1"/>
    <w:basedOn w:val="36"/>
    <w:link w:val="9"/>
    <w:qFormat/>
    <w:locked/>
    <w:uiPriority w:val="99"/>
    <w:rPr>
      <w:rFonts w:ascii="Calibri" w:hAnsi="Calibri" w:eastAsia="宋体" w:cs="Times New Roman"/>
      <w:sz w:val="18"/>
      <w:szCs w:val="18"/>
    </w:rPr>
  </w:style>
  <w:style w:type="character" w:customStyle="1" w:styleId="74">
    <w:name w:val="脚注文本 Char1"/>
    <w:basedOn w:val="36"/>
    <w:link w:val="14"/>
    <w:qFormat/>
    <w:locked/>
    <w:uiPriority w:val="0"/>
    <w:rPr>
      <w:rFonts w:ascii="Calibri" w:hAnsi="Calibri" w:eastAsia="宋体" w:cs="Times New Roman"/>
      <w:kern w:val="0"/>
      <w:sz w:val="20"/>
      <w:szCs w:val="20"/>
    </w:rPr>
  </w:style>
  <w:style w:type="character" w:customStyle="1" w:styleId="75">
    <w:name w:val="font01"/>
    <w:basedOn w:val="36"/>
    <w:qFormat/>
    <w:uiPriority w:val="0"/>
    <w:rPr>
      <w:rFonts w:hint="eastAsia" w:ascii="宋体" w:hAnsi="宋体" w:eastAsia="宋体" w:cs="宋体"/>
      <w:color w:val="000000"/>
      <w:sz w:val="18"/>
      <w:szCs w:val="18"/>
      <w:u w:val="none"/>
    </w:rPr>
  </w:style>
  <w:style w:type="character" w:customStyle="1" w:styleId="76">
    <w:name w:val="不明显强调1"/>
    <w:basedOn w:val="36"/>
    <w:qFormat/>
    <w:uiPriority w:val="19"/>
    <w:rPr>
      <w:rFonts w:eastAsia="宋体" w:cs="Times New Roman"/>
      <w:i/>
      <w:iCs/>
      <w:color w:val="7F7F7F"/>
      <w:sz w:val="22"/>
      <w:szCs w:val="22"/>
      <w:lang w:eastAsia="zh-CN"/>
    </w:rPr>
  </w:style>
  <w:style w:type="character" w:customStyle="1" w:styleId="77">
    <w:name w:val="批注文字 Char"/>
    <w:basedOn w:val="36"/>
    <w:link w:val="7"/>
    <w:qFormat/>
    <w:uiPriority w:val="0"/>
    <w:rPr>
      <w:rFonts w:ascii="Calibri" w:hAnsi="Calibri" w:eastAsia="宋体" w:cs="Times New Roman"/>
      <w:kern w:val="2"/>
      <w:sz w:val="21"/>
      <w:szCs w:val="24"/>
    </w:rPr>
  </w:style>
  <w:style w:type="character" w:customStyle="1" w:styleId="78">
    <w:name w:val="apple-converted-space"/>
    <w:basedOn w:val="36"/>
    <w:qFormat/>
    <w:uiPriority w:val="0"/>
    <w:rPr>
      <w:rFonts w:cs="Times New Roman"/>
    </w:rPr>
  </w:style>
  <w:style w:type="character" w:customStyle="1" w:styleId="79">
    <w:name w:val="页眉 Char1"/>
    <w:basedOn w:val="36"/>
    <w:semiHidden/>
    <w:qFormat/>
    <w:uiPriority w:val="99"/>
    <w:rPr>
      <w:rFonts w:cs="Times New Roman"/>
      <w:kern w:val="2"/>
      <w:sz w:val="18"/>
      <w:szCs w:val="18"/>
    </w:rPr>
  </w:style>
  <w:style w:type="character" w:customStyle="1" w:styleId="80">
    <w:name w:val="页脚 Char1"/>
    <w:basedOn w:val="36"/>
    <w:semiHidden/>
    <w:qFormat/>
    <w:uiPriority w:val="99"/>
    <w:rPr>
      <w:rFonts w:cs="Times New Roman"/>
      <w:kern w:val="2"/>
      <w:sz w:val="18"/>
      <w:szCs w:val="18"/>
    </w:rPr>
  </w:style>
  <w:style w:type="character" w:customStyle="1" w:styleId="81">
    <w:name w:val="标题 3 Char"/>
    <w:basedOn w:val="36"/>
    <w:link w:val="5"/>
    <w:semiHidden/>
    <w:qFormat/>
    <w:uiPriority w:val="9"/>
    <w:rPr>
      <w:rFonts w:ascii="Calibri" w:hAnsi="Calibri" w:eastAsia="宋体" w:cs="Times New Roman"/>
      <w:b/>
      <w:bCs/>
      <w:sz w:val="32"/>
      <w:szCs w:val="32"/>
    </w:rPr>
  </w:style>
  <w:style w:type="character" w:customStyle="1" w:styleId="82">
    <w:name w:val="标题 2 Char"/>
    <w:basedOn w:val="36"/>
    <w:link w:val="4"/>
    <w:semiHidden/>
    <w:qFormat/>
    <w:uiPriority w:val="9"/>
    <w:rPr>
      <w:rFonts w:ascii="Cambria" w:hAnsi="Cambria" w:eastAsia="宋体" w:cs="Times New Roman"/>
      <w:b/>
      <w:bCs/>
      <w:sz w:val="32"/>
      <w:szCs w:val="32"/>
    </w:rPr>
  </w:style>
  <w:style w:type="character" w:customStyle="1" w:styleId="83">
    <w:name w:val="font71"/>
    <w:basedOn w:val="36"/>
    <w:qFormat/>
    <w:uiPriority w:val="0"/>
    <w:rPr>
      <w:rFonts w:hint="eastAsia" w:ascii="宋体" w:hAnsi="宋体" w:eastAsia="宋体" w:cs="宋体"/>
      <w:color w:val="000000"/>
      <w:sz w:val="18"/>
      <w:szCs w:val="18"/>
      <w:u w:val="none"/>
    </w:rPr>
  </w:style>
  <w:style w:type="character" w:customStyle="1" w:styleId="84">
    <w:name w:val="font41"/>
    <w:basedOn w:val="36"/>
    <w:qFormat/>
    <w:uiPriority w:val="0"/>
    <w:rPr>
      <w:rFonts w:hint="eastAsia" w:ascii="宋体" w:hAnsi="宋体" w:eastAsia="宋体" w:cs="宋体"/>
      <w:b/>
      <w:color w:val="000000"/>
      <w:sz w:val="18"/>
      <w:szCs w:val="18"/>
      <w:u w:val="none"/>
    </w:rPr>
  </w:style>
  <w:style w:type="table" w:customStyle="1" w:styleId="85">
    <w:name w:val="Medium Shading 2 - Accent 3"/>
    <w:basedOn w:val="18"/>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9BBB59"/>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9BBB59"/>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9BBB59"/>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86">
    <w:name w:val="Light Grid - Accent 6"/>
    <w:basedOn w:val="18"/>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F79646" w:sz="8" w:space="0"/>
          <w:left w:val="single" w:color="F79646" w:sz="18" w:space="0"/>
          <w:bottom w:val="single" w:color="F79646" w:sz="8" w:space="0"/>
          <w:right w:val="single" w:color="F79646"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F79646" w:sz="6" w:space="0"/>
          <w:left w:val="single" w:color="F79646" w:sz="8" w:space="0"/>
          <w:bottom w:val="single" w:color="F79646" w:sz="8" w:space="0"/>
          <w:right w:val="single" w:color="F79646"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tblStylePr w:type="band1Vert">
      <w:rPr>
        <w:rFonts w:cs="Times New Roman"/>
      </w:rPr>
      <w:tcPr>
        <w:tcBorders>
          <w:top w:val="single" w:color="F79646" w:sz="8" w:space="0"/>
          <w:left w:val="single" w:color="F79646" w:sz="8" w:space="0"/>
          <w:bottom w:val="single" w:color="F79646" w:sz="8" w:space="0"/>
          <w:right w:val="single" w:color="F79646" w:sz="8" w:space="0"/>
          <w:insideH w:val="nil"/>
          <w:insideV w:val="nil"/>
          <w:tl2br w:val="nil"/>
          <w:tr2bl w:val="nil"/>
        </w:tcBorders>
        <w:shd w:val="clear" w:color="auto" w:fill="FDE5D1"/>
      </w:tcPr>
    </w:tblStylePr>
    <w:tblStylePr w:type="band1Horz">
      <w:rPr>
        <w:rFonts w:cs="Times New Roman"/>
      </w:rPr>
      <w:tcPr>
        <w:tcBorders>
          <w:top w:val="single" w:color="F79646" w:sz="8" w:space="0"/>
          <w:left w:val="single" w:color="F79646" w:sz="8" w:space="0"/>
          <w:bottom w:val="single" w:color="F79646" w:sz="8" w:space="0"/>
          <w:right w:val="single" w:color="F79646" w:sz="8" w:space="0"/>
          <w:insideH w:val="nil"/>
          <w:insideV w:val="single" w:sz="8" w:space="0"/>
          <w:tl2br w:val="nil"/>
          <w:tr2bl w:val="nil"/>
        </w:tcBorders>
        <w:shd w:val="clear" w:color="auto" w:fill="FDE5D1"/>
      </w:tcPr>
    </w:tblStylePr>
    <w:tblStylePr w:type="band2Horz">
      <w:rPr>
        <w:rFonts w:cs="Times New Roman"/>
      </w:rPr>
      <w:tcPr>
        <w:tcBorders>
          <w:top w:val="single" w:color="F79646" w:sz="8" w:space="0"/>
          <w:left w:val="single" w:color="F79646" w:sz="8" w:space="0"/>
          <w:bottom w:val="single" w:color="F79646" w:sz="8" w:space="0"/>
          <w:right w:val="single" w:color="F79646" w:sz="8" w:space="0"/>
          <w:insideH w:val="nil"/>
          <w:insideV w:val="single" w:sz="8" w:space="0"/>
          <w:tl2br w:val="nil"/>
          <w:tr2bl w:val="nil"/>
        </w:tcBorders>
      </w:tcPr>
    </w:tblStylePr>
  </w:style>
  <w:style w:type="table" w:customStyle="1" w:styleId="87">
    <w:name w:val="Light List - Accent 6"/>
    <w:basedOn w:val="18"/>
    <w:qFormat/>
    <w:uiPriority w:val="61"/>
    <w:tblPr>
      <w:tblBorders>
        <w:top w:val="single" w:color="F79646" w:sz="8" w:space="0"/>
        <w:left w:val="single" w:color="F79646" w:sz="8" w:space="0"/>
        <w:bottom w:val="single" w:color="F79646" w:sz="8" w:space="0"/>
        <w:right w:val="single" w:color="F79646"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F79646"/>
      </w:tcPr>
    </w:tblStylePr>
    <w:tblStylePr w:type="lastRow">
      <w:pPr>
        <w:spacing w:before="0" w:after="0"/>
      </w:pPr>
      <w:rPr>
        <w:rFonts w:cs="Times New Roman"/>
        <w:b/>
        <w:bCs/>
      </w:rPr>
      <w:tcPr>
        <w:tcBorders>
          <w:top w:val="double" w:color="F79646" w:sz="6" w:space="0"/>
          <w:left w:val="single" w:color="F79646" w:sz="8" w:space="0"/>
          <w:bottom w:val="single" w:color="F79646" w:sz="8" w:space="0"/>
          <w:right w:val="single" w:color="F79646"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tblStylePr w:type="band1Horz">
      <w:rPr>
        <w:rFonts w:cs="Times New Roman"/>
      </w:r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style>
  <w:style w:type="table" w:customStyle="1" w:styleId="88">
    <w:name w:val="Light List - Accent 2"/>
    <w:basedOn w:val="18"/>
    <w:qFormat/>
    <w:uiPriority w:val="61"/>
    <w:tblPr>
      <w:tblBorders>
        <w:top w:val="single" w:color="C0504D" w:sz="8" w:space="0"/>
        <w:left w:val="single" w:color="C0504D" w:sz="8" w:space="0"/>
        <w:bottom w:val="single" w:color="C0504D" w:sz="8" w:space="0"/>
        <w:right w:val="single" w:color="C0504D"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C0504D"/>
      </w:tcPr>
    </w:tblStylePr>
    <w:tblStylePr w:type="lastRow">
      <w:pPr>
        <w:spacing w:before="0" w:after="0"/>
      </w:pPr>
      <w:rPr>
        <w:rFonts w:cs="Times New Roman"/>
        <w:b/>
        <w:bCs/>
      </w:rPr>
      <w:tcPr>
        <w:tcBorders>
          <w:top w:val="double" w:color="C0504D" w:sz="6" w:space="0"/>
          <w:left w:val="single" w:color="C0504D" w:sz="8" w:space="0"/>
          <w:bottom w:val="single" w:color="C0504D" w:sz="8" w:space="0"/>
          <w:right w:val="single" w:color="C0504D"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Horz">
      <w:rPr>
        <w:rFonts w:cs="Times New Roman"/>
      </w:r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style>
  <w:style w:type="table" w:customStyle="1" w:styleId="89">
    <w:name w:val="浅色底纹 - 强调文字颜色 11"/>
    <w:basedOn w:val="18"/>
    <w:qFormat/>
    <w:uiPriority w:val="60"/>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pPr>
      <w:rPr>
        <w:rFonts w:cs="Times New Roman"/>
        <w:b/>
        <w:bCs/>
      </w:rPr>
      <w:tcPr>
        <w:tcBorders>
          <w:top w:val="single" w:color="4F81BD" w:sz="8" w:space="0"/>
          <w:left w:val="nil"/>
          <w:bottom w:val="single" w:color="4F81BD" w:sz="8" w:space="0"/>
          <w:right w:val="nil"/>
          <w:insideH w:val="nil"/>
          <w:insideV w:val="nil"/>
          <w:tl2br w:val="nil"/>
          <w:tr2bl w:val="nil"/>
        </w:tcBorders>
      </w:tcPr>
    </w:tblStylePr>
    <w:tblStylePr w:type="lastRow">
      <w:pPr>
        <w:spacing w:before="0" w:after="0"/>
      </w:pPr>
      <w:rPr>
        <w:rFonts w:cs="Times New Roman"/>
        <w:b/>
        <w:bCs/>
      </w:rPr>
      <w:tcPr>
        <w:tcBorders>
          <w:top w:val="single" w:color="4F81BD" w:sz="8" w:space="0"/>
          <w:left w:val="nil"/>
          <w:bottom w:val="single" w:color="4F81BD" w:sz="8" w:space="0"/>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style>
  <w:style w:type="table" w:customStyle="1" w:styleId="90">
    <w:name w:val="Medium List 1 - Accent 2"/>
    <w:basedOn w:val="18"/>
    <w:qFormat/>
    <w:uiPriority w:val="65"/>
    <w:rPr>
      <w:color w:val="000000"/>
    </w:rPr>
    <w:tblPr>
      <w:tblBorders>
        <w:top w:val="single" w:color="C0504D" w:sz="8" w:space="0"/>
        <w:bottom w:val="single" w:color="C0504D" w:sz="8" w:space="0"/>
      </w:tblBorders>
      <w:tblCellMar>
        <w:top w:w="0" w:type="dxa"/>
        <w:left w:w="108" w:type="dxa"/>
        <w:bottom w:w="0" w:type="dxa"/>
        <w:right w:w="108" w:type="dxa"/>
      </w:tblCellMar>
    </w:tblPr>
    <w:tblStylePr w:type="firstRow">
      <w:rPr>
        <w:rFonts w:ascii="Helvetica" w:hAnsi="Helvetica" w:eastAsia="Times New Roman" w:cs="Times New Roman"/>
      </w:rPr>
      <w:tcPr>
        <w:tcBorders>
          <w:top w:val="nil"/>
          <w:left w:val="single" w:color="C0504D" w:sz="8" w:space="0"/>
          <w:bottom w:val="nil"/>
          <w:right w:val="nil"/>
          <w:insideH w:val="nil"/>
          <w:insideV w:val="nil"/>
          <w:tl2br w:val="nil"/>
          <w:tr2bl w:val="nil"/>
        </w:tcBorders>
      </w:tcPr>
    </w:tblStylePr>
    <w:tblStylePr w:type="lastRow">
      <w:rPr>
        <w:rFonts w:cs="Times New Roman"/>
        <w:b/>
        <w:bCs/>
        <w:color w:val="1F497D"/>
      </w:rPr>
      <w:tcPr>
        <w:tcBorders>
          <w:top w:val="single" w:color="C0504D" w:sz="8" w:space="0"/>
          <w:left w:val="single" w:color="C0504D"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cPr>
        <w:tcBorders>
          <w:top w:val="single" w:color="C0504D" w:sz="8" w:space="0"/>
          <w:left w:val="single" w:color="C0504D" w:sz="8" w:space="0"/>
          <w:bottom w:val="nil"/>
          <w:right w:val="nil"/>
          <w:insideH w:val="nil"/>
          <w:insideV w:val="nil"/>
          <w:tl2br w:val="nil"/>
          <w:tr2bl w:val="nil"/>
        </w:tcBorders>
      </w:tcPr>
    </w:tblStylePr>
    <w:tblStylePr w:type="band1Vert">
      <w:rPr>
        <w:rFonts w:cs="Times New Roman"/>
      </w:rPr>
      <w:tcPr>
        <w:shd w:val="clear" w:color="auto" w:fill="EFD3D3"/>
      </w:tcPr>
    </w:tblStylePr>
    <w:tblStylePr w:type="band1Horz">
      <w:rPr>
        <w:rFonts w:cs="Times New Roman"/>
      </w:rPr>
      <w:tcPr>
        <w:shd w:val="clear" w:color="auto" w:fill="EFD3D3"/>
      </w:tcPr>
    </w:tblStylePr>
  </w:style>
  <w:style w:type="table" w:customStyle="1" w:styleId="91">
    <w:name w:val="Medium Shading 2 - Accent 2"/>
    <w:basedOn w:val="18"/>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C0504D"/>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C0504D"/>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C0504D"/>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92">
    <w:name w:val="Light Grid - Accent 5"/>
    <w:basedOn w:val="18"/>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4BACC6" w:sz="8" w:space="0"/>
          <w:left w:val="single" w:color="4BACC6" w:sz="18" w:space="0"/>
          <w:bottom w:val="single" w:color="4BACC6" w:sz="8" w:space="0"/>
          <w:right w:val="single" w:color="4BACC6"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4BACC6" w:sz="6" w:space="0"/>
          <w:left w:val="single" w:color="4BACC6" w:sz="8" w:space="0"/>
          <w:bottom w:val="single" w:color="4BACC6" w:sz="8" w:space="0"/>
          <w:right w:val="single" w:color="4BACC6"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Vert">
      <w:rPr>
        <w:rFonts w:cs="Times New Roman"/>
      </w:rPr>
      <w:tcPr>
        <w:tcBorders>
          <w:top w:val="single" w:color="4BACC6" w:sz="8" w:space="0"/>
          <w:left w:val="single" w:color="4BACC6" w:sz="8" w:space="0"/>
          <w:bottom w:val="single" w:color="4BACC6" w:sz="8" w:space="0"/>
          <w:right w:val="single" w:color="4BACC6" w:sz="8" w:space="0"/>
          <w:insideH w:val="nil"/>
          <w:insideV w:val="nil"/>
          <w:tl2br w:val="nil"/>
          <w:tr2bl w:val="nil"/>
        </w:tcBorders>
        <w:shd w:val="clear" w:color="auto" w:fill="D2EAF0"/>
      </w:tcPr>
    </w:tblStylePr>
    <w:tblStylePr w:type="band1Horz">
      <w:rPr>
        <w:rFonts w:cs="Times New Roman"/>
      </w:r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shd w:val="clear" w:color="auto" w:fill="D2EAF0"/>
      </w:tcPr>
    </w:tblStylePr>
    <w:tblStylePr w:type="band2Horz">
      <w:rPr>
        <w:rFonts w:cs="Times New Roman"/>
      </w:r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tcPr>
    </w:tblStylePr>
  </w:style>
  <w:style w:type="table" w:customStyle="1" w:styleId="93">
    <w:name w:val="Light List - Accent 5"/>
    <w:basedOn w:val="18"/>
    <w:qFormat/>
    <w:uiPriority w:val="61"/>
    <w:tblPr>
      <w:tblBorders>
        <w:top w:val="single" w:color="4BACC6" w:sz="8" w:space="0"/>
        <w:left w:val="single" w:color="4BACC6" w:sz="8" w:space="0"/>
        <w:bottom w:val="single" w:color="4BACC6" w:sz="8" w:space="0"/>
        <w:right w:val="single" w:color="4BACC6"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4BACC6"/>
      </w:tcPr>
    </w:tblStylePr>
    <w:tblStylePr w:type="lastRow">
      <w:pPr>
        <w:spacing w:before="0" w:after="0"/>
      </w:pPr>
      <w:rPr>
        <w:rFonts w:cs="Times New Roman"/>
        <w:b/>
        <w:bCs/>
      </w:rPr>
      <w:tcPr>
        <w:tcBorders>
          <w:top w:val="double" w:color="4BACC6" w:sz="6" w:space="0"/>
          <w:left w:val="single" w:color="4BACC6" w:sz="8" w:space="0"/>
          <w:bottom w:val="single" w:color="4BACC6" w:sz="8" w:space="0"/>
          <w:right w:val="single" w:color="4BACC6"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Horz">
      <w:rPr>
        <w:rFonts w:cs="Times New Roman"/>
      </w:r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style>
  <w:style w:type="table" w:customStyle="1" w:styleId="94">
    <w:name w:val="Light Shading - Accent 3"/>
    <w:basedOn w:val="18"/>
    <w:qFormat/>
    <w:uiPriority w:val="60"/>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pPr>
      <w:rPr>
        <w:rFonts w:cs="Times New Roman"/>
        <w:b/>
        <w:bCs/>
      </w:rPr>
      <w:tcPr>
        <w:tcBorders>
          <w:top w:val="single" w:color="9BBB59" w:sz="8" w:space="0"/>
          <w:left w:val="single" w:color="9BBB59" w:sz="8" w:space="0"/>
          <w:bottom w:val="nil"/>
          <w:right w:val="nil"/>
          <w:insideH w:val="nil"/>
          <w:insideV w:val="nil"/>
          <w:tl2br w:val="nil"/>
          <w:tr2bl w:val="nil"/>
        </w:tcBorders>
      </w:tcPr>
    </w:tblStylePr>
    <w:tblStylePr w:type="lastRow">
      <w:pPr>
        <w:spacing w:before="0" w:after="0"/>
      </w:pPr>
      <w:rPr>
        <w:rFonts w:cs="Times New Roman"/>
        <w:b/>
        <w:bCs/>
      </w:rPr>
      <w:tcPr>
        <w:tcBorders>
          <w:top w:val="single" w:color="9BBB59" w:sz="8" w:space="0"/>
          <w:left w:val="single" w:color="9BBB59"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E6EED5"/>
      </w:tcPr>
    </w:tblStylePr>
    <w:tblStylePr w:type="band1Horz">
      <w:rPr>
        <w:rFonts w:cs="Times New Roman"/>
      </w:rPr>
      <w:tcPr>
        <w:tcBorders>
          <w:top w:val="nil"/>
          <w:left w:val="nil"/>
          <w:bottom w:val="nil"/>
          <w:right w:val="nil"/>
          <w:insideH w:val="nil"/>
          <w:insideV w:val="nil"/>
          <w:tl2br w:val="nil"/>
          <w:tr2bl w:val="nil"/>
        </w:tcBorders>
        <w:shd w:val="clear" w:color="auto" w:fill="E6EED5"/>
      </w:tcPr>
    </w:tblStylePr>
  </w:style>
  <w:style w:type="table" w:customStyle="1" w:styleId="95">
    <w:name w:val="Medium Shading 2 - Accent 6"/>
    <w:basedOn w:val="18"/>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F79646"/>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F79646"/>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F79646"/>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96">
    <w:name w:val="Medium Shading 1 - Accent 6"/>
    <w:basedOn w:val="18"/>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F9B074" w:sz="8" w:space="0"/>
          <w:left w:val="single" w:color="F9B074" w:sz="8" w:space="0"/>
          <w:bottom w:val="single" w:color="F9B074" w:sz="8" w:space="0"/>
          <w:right w:val="single" w:color="F9B074" w:sz="8" w:space="0"/>
          <w:insideH w:val="nil"/>
          <w:insideV w:val="nil"/>
          <w:tl2br w:val="nil"/>
          <w:tr2bl w:val="nil"/>
        </w:tcBorders>
        <w:shd w:val="clear" w:color="auto" w:fill="F79646"/>
      </w:tcPr>
    </w:tblStylePr>
    <w:tblStylePr w:type="lastRow">
      <w:pPr>
        <w:spacing w:before="0" w:after="0"/>
      </w:pPr>
      <w:rPr>
        <w:rFonts w:cs="Times New Roman"/>
        <w:b/>
        <w:bCs/>
      </w:rPr>
      <w:tcPr>
        <w:tcBorders>
          <w:top w:val="double" w:color="F9B074" w:sz="6" w:space="0"/>
          <w:left w:val="single" w:color="F9B074" w:sz="8" w:space="0"/>
          <w:bottom w:val="single" w:color="F9B074" w:sz="8" w:space="0"/>
          <w:right w:val="single" w:color="F9B074"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FDE5D1"/>
      </w:tcPr>
    </w:tblStylePr>
    <w:tblStylePr w:type="band1Horz">
      <w:rPr>
        <w:rFonts w:cs="Times New Roman"/>
      </w:rPr>
      <w:tcPr>
        <w:shd w:val="clear" w:color="auto" w:fill="FDE5D1"/>
      </w:tcPr>
    </w:tblStylePr>
    <w:tblStylePr w:type="band2Horz">
      <w:rPr>
        <w:rFonts w:cs="Times New Roman"/>
      </w:rPr>
      <w:tcPr>
        <w:tcBorders>
          <w:top w:val="nil"/>
          <w:left w:val="nil"/>
          <w:bottom w:val="nil"/>
          <w:right w:val="nil"/>
          <w:insideH w:val="nil"/>
          <w:insideV w:val="nil"/>
          <w:tl2br w:val="nil"/>
          <w:tr2bl w:val="nil"/>
        </w:tcBorders>
      </w:tcPr>
    </w:tblStylePr>
  </w:style>
  <w:style w:type="table" w:customStyle="1" w:styleId="97">
    <w:name w:val="Light Grid - Accent 4"/>
    <w:basedOn w:val="18"/>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8064A2" w:sz="8" w:space="0"/>
          <w:left w:val="single" w:color="8064A2" w:sz="18" w:space="0"/>
          <w:bottom w:val="single" w:color="8064A2" w:sz="8" w:space="0"/>
          <w:right w:val="single" w:color="8064A2"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8064A2" w:sz="6" w:space="0"/>
          <w:left w:val="single" w:color="8064A2" w:sz="8" w:space="0"/>
          <w:bottom w:val="single" w:color="8064A2" w:sz="8" w:space="0"/>
          <w:right w:val="single" w:color="8064A2"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Vert">
      <w:rPr>
        <w:rFonts w:cs="Times New Roman"/>
      </w:rPr>
      <w:tcPr>
        <w:tcBorders>
          <w:top w:val="single" w:color="8064A2" w:sz="8" w:space="0"/>
          <w:left w:val="single" w:color="8064A2" w:sz="8" w:space="0"/>
          <w:bottom w:val="single" w:color="8064A2" w:sz="8" w:space="0"/>
          <w:right w:val="single" w:color="8064A2" w:sz="8" w:space="0"/>
          <w:insideH w:val="nil"/>
          <w:insideV w:val="nil"/>
          <w:tl2br w:val="nil"/>
          <w:tr2bl w:val="nil"/>
        </w:tcBorders>
        <w:shd w:val="clear" w:color="auto" w:fill="DFD8E8"/>
      </w:tcPr>
    </w:tblStylePr>
    <w:tblStylePr w:type="band1Horz">
      <w:rPr>
        <w:rFonts w:cs="Times New Roman"/>
      </w:rPr>
      <w:tcPr>
        <w:tcBorders>
          <w:top w:val="single" w:color="8064A2" w:sz="8" w:space="0"/>
          <w:left w:val="single" w:color="8064A2" w:sz="8" w:space="0"/>
          <w:bottom w:val="single" w:color="8064A2" w:sz="8" w:space="0"/>
          <w:right w:val="single" w:color="8064A2" w:sz="8" w:space="0"/>
          <w:insideH w:val="nil"/>
          <w:insideV w:val="single" w:sz="8" w:space="0"/>
          <w:tl2br w:val="nil"/>
          <w:tr2bl w:val="nil"/>
        </w:tcBorders>
        <w:shd w:val="clear" w:color="auto" w:fill="DFD8E8"/>
      </w:tcPr>
    </w:tblStylePr>
    <w:tblStylePr w:type="band2Horz">
      <w:rPr>
        <w:rFonts w:cs="Times New Roman"/>
      </w:rPr>
      <w:tcPr>
        <w:tcBorders>
          <w:top w:val="single" w:color="8064A2" w:sz="8" w:space="0"/>
          <w:left w:val="single" w:color="8064A2" w:sz="8" w:space="0"/>
          <w:bottom w:val="single" w:color="8064A2" w:sz="8" w:space="0"/>
          <w:right w:val="single" w:color="8064A2" w:sz="8" w:space="0"/>
          <w:insideH w:val="nil"/>
          <w:insideV w:val="single" w:sz="8" w:space="0"/>
          <w:tl2br w:val="nil"/>
          <w:tr2bl w:val="nil"/>
        </w:tcBorders>
      </w:tcPr>
    </w:tblStylePr>
  </w:style>
  <w:style w:type="table" w:customStyle="1" w:styleId="98">
    <w:name w:val="Light List - Accent 4"/>
    <w:basedOn w:val="18"/>
    <w:qFormat/>
    <w:uiPriority w:val="61"/>
    <w:tblPr>
      <w:tblBorders>
        <w:top w:val="single" w:color="8064A2" w:sz="8" w:space="0"/>
        <w:left w:val="single" w:color="8064A2" w:sz="8" w:space="0"/>
        <w:bottom w:val="single" w:color="8064A2" w:sz="8" w:space="0"/>
        <w:right w:val="single" w:color="8064A2"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8064A2"/>
      </w:tcPr>
    </w:tblStylePr>
    <w:tblStylePr w:type="lastRow">
      <w:pPr>
        <w:spacing w:before="0" w:after="0"/>
      </w:pPr>
      <w:rPr>
        <w:rFonts w:cs="Times New Roman"/>
        <w:b/>
        <w:bCs/>
      </w:rPr>
      <w:tcPr>
        <w:tcBorders>
          <w:top w:val="double" w:color="8064A2" w:sz="6" w:space="0"/>
          <w:left w:val="single" w:color="8064A2" w:sz="8" w:space="0"/>
          <w:bottom w:val="single" w:color="8064A2" w:sz="8" w:space="0"/>
          <w:right w:val="single" w:color="8064A2"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Horz">
      <w:rPr>
        <w:rFonts w:cs="Times New Roman"/>
      </w:r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style>
  <w:style w:type="table" w:customStyle="1" w:styleId="99">
    <w:name w:val="Light Shading - Accent 5"/>
    <w:basedOn w:val="18"/>
    <w:qFormat/>
    <w:uiPriority w:val="60"/>
    <w:rPr>
      <w:color w:val="31849B"/>
    </w:rPr>
    <w:tblPr>
      <w:tblBorders>
        <w:top w:val="single" w:color="4BACC6" w:sz="8" w:space="0"/>
        <w:bottom w:val="single" w:color="4BACC6" w:sz="8" w:space="0"/>
      </w:tblBorders>
      <w:tblCellMar>
        <w:top w:w="0" w:type="dxa"/>
        <w:left w:w="108" w:type="dxa"/>
        <w:bottom w:w="0" w:type="dxa"/>
        <w:right w:w="108" w:type="dxa"/>
      </w:tblCellMar>
    </w:tblPr>
    <w:tblStylePr w:type="firstRow">
      <w:pPr>
        <w:spacing w:before="0" w:after="0"/>
      </w:pPr>
      <w:rPr>
        <w:rFonts w:cs="Times New Roman"/>
        <w:b/>
        <w:bCs/>
      </w:rPr>
      <w:tcPr>
        <w:tcBorders>
          <w:top w:val="single" w:color="4BACC6" w:sz="8" w:space="0"/>
          <w:left w:val="single" w:color="4BACC6" w:sz="8" w:space="0"/>
          <w:bottom w:val="nil"/>
          <w:right w:val="nil"/>
          <w:insideH w:val="nil"/>
          <w:insideV w:val="nil"/>
          <w:tl2br w:val="nil"/>
          <w:tr2bl w:val="nil"/>
        </w:tcBorders>
      </w:tcPr>
    </w:tblStylePr>
    <w:tblStylePr w:type="lastRow">
      <w:pPr>
        <w:spacing w:before="0" w:after="0"/>
      </w:pPr>
      <w:rPr>
        <w:rFonts w:cs="Times New Roman"/>
        <w:b/>
        <w:bCs/>
      </w:rPr>
      <w:tcPr>
        <w:tcBorders>
          <w:top w:val="single" w:color="4BACC6" w:sz="8" w:space="0"/>
          <w:left w:val="single" w:color="4BACC6"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2EAF0"/>
      </w:tcPr>
    </w:tblStylePr>
    <w:tblStylePr w:type="band1Horz">
      <w:rPr>
        <w:rFonts w:cs="Times New Roman"/>
      </w:rPr>
      <w:tcPr>
        <w:tcBorders>
          <w:top w:val="nil"/>
          <w:left w:val="nil"/>
          <w:bottom w:val="nil"/>
          <w:right w:val="nil"/>
          <w:insideH w:val="nil"/>
          <w:insideV w:val="nil"/>
          <w:tl2br w:val="nil"/>
          <w:tr2bl w:val="nil"/>
        </w:tcBorders>
        <w:shd w:val="clear" w:color="auto" w:fill="D2EAF0"/>
      </w:tcPr>
    </w:tblStylePr>
  </w:style>
  <w:style w:type="table" w:customStyle="1" w:styleId="100">
    <w:name w:val="Medium Shading 2 - Accent 5"/>
    <w:basedOn w:val="18"/>
    <w:qFormat/>
    <w:uiPriority w:val="64"/>
    <w:rPr>
      <w:sz w:val="22"/>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4BACC6"/>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4BACC6"/>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4BACC6"/>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101">
    <w:name w:val="Medium Shading 1 - Accent 5"/>
    <w:basedOn w:val="18"/>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78C0D4" w:sz="8" w:space="0"/>
          <w:left w:val="single" w:color="78C0D4" w:sz="8" w:space="0"/>
          <w:bottom w:val="single" w:color="78C0D4" w:sz="8" w:space="0"/>
          <w:right w:val="single" w:color="78C0D4" w:sz="8" w:space="0"/>
          <w:insideH w:val="nil"/>
          <w:insideV w:val="nil"/>
          <w:tl2br w:val="nil"/>
          <w:tr2bl w:val="nil"/>
        </w:tcBorders>
        <w:shd w:val="clear" w:color="auto" w:fill="4BACC6"/>
      </w:tcPr>
    </w:tblStylePr>
    <w:tblStylePr w:type="lastRow">
      <w:pPr>
        <w:spacing w:before="0" w:after="0"/>
      </w:pPr>
      <w:rPr>
        <w:rFonts w:cs="Times New Roman"/>
        <w:b/>
        <w:bCs/>
      </w:rPr>
      <w:tcPr>
        <w:tcBorders>
          <w:top w:val="double" w:color="78C0D4" w:sz="6" w:space="0"/>
          <w:left w:val="single" w:color="78C0D4" w:sz="8" w:space="0"/>
          <w:bottom w:val="single" w:color="78C0D4" w:sz="8" w:space="0"/>
          <w:right w:val="single" w:color="78C0D4"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D2EAF0"/>
      </w:tcPr>
    </w:tblStylePr>
    <w:tblStylePr w:type="band1Horz">
      <w:rPr>
        <w:rFonts w:cs="Times New Roman"/>
      </w:rPr>
      <w:tcPr>
        <w:shd w:val="clear" w:color="auto" w:fill="D2EAF0"/>
      </w:tcPr>
    </w:tblStylePr>
    <w:tblStylePr w:type="band2Horz">
      <w:rPr>
        <w:rFonts w:cs="Times New Roman"/>
      </w:rPr>
      <w:tcPr>
        <w:tcBorders>
          <w:top w:val="nil"/>
          <w:left w:val="nil"/>
          <w:bottom w:val="nil"/>
          <w:right w:val="nil"/>
          <w:insideH w:val="nil"/>
          <w:insideV w:val="nil"/>
          <w:tl2br w:val="nil"/>
          <w:tr2bl w:val="nil"/>
        </w:tcBorders>
      </w:tcPr>
    </w:tblStylePr>
  </w:style>
  <w:style w:type="table" w:customStyle="1" w:styleId="102">
    <w:name w:val="Light Grid - Accent 2"/>
    <w:basedOn w:val="18"/>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C0504D" w:sz="8" w:space="0"/>
          <w:left w:val="single" w:color="C0504D" w:sz="18" w:space="0"/>
          <w:bottom w:val="single" w:color="C0504D" w:sz="8" w:space="0"/>
          <w:right w:val="single" w:color="C0504D"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C0504D" w:sz="6" w:space="0"/>
          <w:left w:val="single" w:color="C0504D" w:sz="8" w:space="0"/>
          <w:bottom w:val="single" w:color="C0504D" w:sz="8" w:space="0"/>
          <w:right w:val="single" w:color="C0504D"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Vert">
      <w:rPr>
        <w:rFonts w:cs="Times New Roman"/>
      </w:rPr>
      <w:tcPr>
        <w:tcBorders>
          <w:top w:val="single" w:color="C0504D" w:sz="8" w:space="0"/>
          <w:left w:val="single" w:color="C0504D" w:sz="8" w:space="0"/>
          <w:bottom w:val="single" w:color="C0504D" w:sz="8" w:space="0"/>
          <w:right w:val="single" w:color="C0504D" w:sz="8" w:space="0"/>
          <w:insideH w:val="nil"/>
          <w:insideV w:val="nil"/>
          <w:tl2br w:val="nil"/>
          <w:tr2bl w:val="nil"/>
        </w:tcBorders>
        <w:shd w:val="clear" w:color="auto" w:fill="EFD3D3"/>
      </w:tcPr>
    </w:tblStylePr>
    <w:tblStylePr w:type="band1Horz">
      <w:rPr>
        <w:rFonts w:cs="Times New Roman"/>
      </w:rPr>
      <w:tcPr>
        <w:tcBorders>
          <w:top w:val="single" w:color="C0504D" w:sz="8" w:space="0"/>
          <w:left w:val="single" w:color="C0504D" w:sz="8" w:space="0"/>
          <w:bottom w:val="single" w:color="C0504D" w:sz="8" w:space="0"/>
          <w:right w:val="single" w:color="C0504D" w:sz="8" w:space="0"/>
          <w:insideH w:val="nil"/>
          <w:insideV w:val="single" w:sz="8" w:space="0"/>
          <w:tl2br w:val="nil"/>
          <w:tr2bl w:val="nil"/>
        </w:tcBorders>
        <w:shd w:val="clear" w:color="auto" w:fill="EFD3D3"/>
      </w:tcPr>
    </w:tblStylePr>
    <w:tblStylePr w:type="band2Horz">
      <w:rPr>
        <w:rFonts w:cs="Times New Roman"/>
      </w:rPr>
      <w:tcPr>
        <w:tcBorders>
          <w:top w:val="single" w:color="C0504D" w:sz="8" w:space="0"/>
          <w:left w:val="single" w:color="C0504D" w:sz="8" w:space="0"/>
          <w:bottom w:val="single" w:color="C0504D" w:sz="8" w:space="0"/>
          <w:right w:val="single" w:color="C0504D" w:sz="8" w:space="0"/>
          <w:insideH w:val="nil"/>
          <w:insideV w:val="single" w:sz="8" w:space="0"/>
          <w:tl2br w:val="nil"/>
          <w:tr2bl w:val="nil"/>
        </w:tcBorders>
      </w:tcPr>
    </w:tblStylePr>
  </w:style>
  <w:style w:type="table" w:customStyle="1" w:styleId="103">
    <w:name w:val="Light List - Accent 3"/>
    <w:basedOn w:val="18"/>
    <w:qFormat/>
    <w:uiPriority w:val="61"/>
    <w:rPr>
      <w:sz w:val="22"/>
    </w:rPr>
    <w:tblPr>
      <w:tblBorders>
        <w:top w:val="single" w:color="9BBB59" w:sz="8" w:space="0"/>
        <w:left w:val="single" w:color="9BBB59" w:sz="8" w:space="0"/>
        <w:bottom w:val="single" w:color="9BBB59" w:sz="8" w:space="0"/>
        <w:right w:val="single" w:color="9BBB59"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9BBB59"/>
      </w:tcPr>
    </w:tblStylePr>
    <w:tblStylePr w:type="lastRow">
      <w:pPr>
        <w:spacing w:before="0" w:after="0"/>
      </w:pPr>
      <w:rPr>
        <w:rFonts w:cs="Times New Roman"/>
        <w:b/>
        <w:bCs/>
      </w:rPr>
      <w:tcPr>
        <w:tcBorders>
          <w:top w:val="double" w:color="9BBB59" w:sz="6" w:space="0"/>
          <w:left w:val="single" w:color="9BBB59" w:sz="8" w:space="0"/>
          <w:bottom w:val="single" w:color="9BBB59" w:sz="8" w:space="0"/>
          <w:right w:val="single" w:color="9BBB59"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Horz">
      <w:rPr>
        <w:rFonts w:cs="Times New Roman"/>
      </w:r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style>
  <w:style w:type="table" w:customStyle="1" w:styleId="104">
    <w:name w:val="Medium List 1 - Accent 5"/>
    <w:basedOn w:val="18"/>
    <w:qFormat/>
    <w:uiPriority w:val="65"/>
    <w:rPr>
      <w:color w:val="000000"/>
    </w:rPr>
    <w:tblPr>
      <w:tblBorders>
        <w:top w:val="single" w:color="4BACC6" w:sz="8" w:space="0"/>
        <w:bottom w:val="single" w:color="4BACC6" w:sz="8" w:space="0"/>
      </w:tblBorders>
      <w:tblCellMar>
        <w:top w:w="0" w:type="dxa"/>
        <w:left w:w="108" w:type="dxa"/>
        <w:bottom w:w="0" w:type="dxa"/>
        <w:right w:w="108" w:type="dxa"/>
      </w:tblCellMar>
    </w:tblPr>
    <w:tblStylePr w:type="firstRow">
      <w:rPr>
        <w:rFonts w:ascii="Helvetica" w:hAnsi="Helvetica" w:eastAsia="Times New Roman" w:cs="Times New Roman"/>
      </w:rPr>
      <w:tcPr>
        <w:tcBorders>
          <w:top w:val="nil"/>
          <w:left w:val="single" w:color="4BACC6" w:sz="8" w:space="0"/>
          <w:bottom w:val="nil"/>
          <w:right w:val="nil"/>
          <w:insideH w:val="nil"/>
          <w:insideV w:val="nil"/>
          <w:tl2br w:val="nil"/>
          <w:tr2bl w:val="nil"/>
        </w:tcBorders>
      </w:tcPr>
    </w:tblStylePr>
    <w:tblStylePr w:type="lastRow">
      <w:rPr>
        <w:rFonts w:cs="Times New Roman"/>
        <w:b/>
        <w:bCs/>
        <w:color w:val="1F497D"/>
      </w:rPr>
      <w:tcPr>
        <w:tcBorders>
          <w:top w:val="single" w:color="4BACC6" w:sz="8" w:space="0"/>
          <w:left w:val="single" w:color="4BACC6"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cPr>
        <w:tcBorders>
          <w:top w:val="single" w:color="4BACC6" w:sz="8" w:space="0"/>
          <w:left w:val="single" w:color="4BACC6" w:sz="8" w:space="0"/>
          <w:bottom w:val="nil"/>
          <w:right w:val="nil"/>
          <w:insideH w:val="nil"/>
          <w:insideV w:val="nil"/>
          <w:tl2br w:val="nil"/>
          <w:tr2bl w:val="nil"/>
        </w:tcBorders>
      </w:tcPr>
    </w:tblStylePr>
    <w:tblStylePr w:type="band1Vert">
      <w:rPr>
        <w:rFonts w:cs="Times New Roman"/>
      </w:rPr>
      <w:tcPr>
        <w:shd w:val="clear" w:color="auto" w:fill="D2EAF0"/>
      </w:tcPr>
    </w:tblStylePr>
    <w:tblStylePr w:type="band1Horz">
      <w:rPr>
        <w:rFonts w:cs="Times New Roman"/>
      </w:rPr>
      <w:tcPr>
        <w:shd w:val="clear" w:color="auto" w:fill="D2EAF0"/>
      </w:tcPr>
    </w:tblStylePr>
  </w:style>
  <w:style w:type="table" w:customStyle="1" w:styleId="105">
    <w:name w:val="Medium List 2 - Accent 1"/>
    <w:basedOn w:val="18"/>
    <w:qFormat/>
    <w:uiPriority w:val="66"/>
    <w:rPr>
      <w:rFonts w:ascii="Cambria" w:hAnsi="Cambria"/>
      <w:color w:val="000000"/>
      <w:sz w:val="22"/>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tblStylePr w:type="firstRow">
      <w:rPr>
        <w:rFonts w:cs="Times New Roman"/>
        <w:sz w:val="24"/>
        <w:szCs w:val="24"/>
      </w:rPr>
      <w:tcPr>
        <w:tcBorders>
          <w:top w:val="nil"/>
          <w:left w:val="single" w:color="4F81BD" w:sz="24" w:space="0"/>
          <w:bottom w:val="nil"/>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nil"/>
          <w:bottom w:val="single" w:color="4F81BD"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06">
    <w:name w:val="浅色底纹 - 强调文字颜色 111"/>
    <w:basedOn w:val="18"/>
    <w:qFormat/>
    <w:uiPriority w:val="60"/>
    <w:rPr>
      <w:color w:val="366091"/>
    </w:rPr>
    <w:tblPr>
      <w:tblBorders>
        <w:top w:val="single" w:color="4F81BD" w:sz="8" w:space="0"/>
        <w:bottom w:val="single" w:color="4F81BD" w:sz="8" w:space="0"/>
      </w:tblBorders>
      <w:tblCellMar>
        <w:top w:w="0" w:type="dxa"/>
        <w:left w:w="108" w:type="dxa"/>
        <w:bottom w:w="0" w:type="dxa"/>
        <w:right w:w="108" w:type="dxa"/>
      </w:tblCellMar>
    </w:tblPr>
  </w:style>
  <w:style w:type="table" w:customStyle="1" w:styleId="107">
    <w:name w:val="Medium List 2 - Accent 2"/>
    <w:basedOn w:val="18"/>
    <w:qFormat/>
    <w:uiPriority w:val="66"/>
    <w:rPr>
      <w:rFonts w:ascii="Cambria" w:hAnsi="Cambria"/>
      <w:color w:val="000000"/>
    </w:rPr>
    <w:tblPr>
      <w:tblBorders>
        <w:top w:val="single" w:color="C0504D" w:sz="8" w:space="0"/>
        <w:left w:val="single" w:color="C0504D" w:sz="8" w:space="0"/>
        <w:bottom w:val="single" w:color="C0504D" w:sz="8" w:space="0"/>
        <w:right w:val="single" w:color="C0504D" w:sz="8" w:space="0"/>
      </w:tblBorders>
      <w:tblCellMar>
        <w:top w:w="0" w:type="dxa"/>
        <w:left w:w="108" w:type="dxa"/>
        <w:bottom w:w="0" w:type="dxa"/>
        <w:right w:w="108" w:type="dxa"/>
      </w:tblCellMar>
    </w:tblPr>
    <w:tblStylePr w:type="firstRow">
      <w:rPr>
        <w:rFonts w:cs="Times New Roman"/>
        <w:sz w:val="24"/>
        <w:szCs w:val="24"/>
      </w:rPr>
      <w:tcPr>
        <w:tcBorders>
          <w:top w:val="nil"/>
          <w:left w:val="single" w:color="C0504D" w:sz="24" w:space="0"/>
          <w:bottom w:val="nil"/>
          <w:right w:val="nil"/>
          <w:insideH w:val="nil"/>
          <w:insideV w:val="nil"/>
          <w:tl2br w:val="nil"/>
          <w:tr2bl w:val="nil"/>
        </w:tcBorders>
        <w:shd w:val="clear" w:color="auto" w:fill="FFFFFF"/>
      </w:tcPr>
    </w:tblStylePr>
    <w:tblStylePr w:type="lastRow">
      <w:rPr>
        <w:rFonts w:cs="Times New Roman"/>
      </w:rPr>
      <w:tcPr>
        <w:tcBorders>
          <w:top w:val="single" w:color="C0504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C0504D" w:sz="8" w:space="0"/>
          <w:insideH w:val="nil"/>
          <w:insideV w:val="nil"/>
          <w:tl2br w:val="nil"/>
          <w:tr2bl w:val="nil"/>
        </w:tcBorders>
        <w:shd w:val="clear" w:color="auto" w:fill="FFFFFF"/>
      </w:tcPr>
    </w:tblStylePr>
    <w:tblStylePr w:type="lastCol">
      <w:rPr>
        <w:rFonts w:cs="Times New Roman"/>
      </w:rPr>
      <w:tcPr>
        <w:tcBorders>
          <w:top w:val="nil"/>
          <w:left w:val="nil"/>
          <w:bottom w:val="single" w:color="C0504D"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EFD3D3"/>
      </w:tcPr>
    </w:tblStylePr>
    <w:tblStylePr w:type="band1Horz">
      <w:rPr>
        <w:rFonts w:cs="Times New Roman"/>
      </w:rPr>
      <w:tcPr>
        <w:tcBorders>
          <w:top w:val="nil"/>
          <w:left w:val="nil"/>
          <w:bottom w:val="nil"/>
          <w:right w:val="nil"/>
          <w:insideH w:val="nil"/>
          <w:insideV w:val="nil"/>
          <w:tl2br w:val="nil"/>
          <w:tr2bl w:val="nil"/>
        </w:tcBorders>
        <w:shd w:val="clear" w:color="auto" w:fill="EFD3D3"/>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08">
    <w:name w:val="中等深浅底纹 1 - 强调文字颜色 11"/>
    <w:basedOn w:val="18"/>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7BA0CD" w:sz="8" w:space="0"/>
          <w:left w:val="single" w:color="7BA0CD" w:sz="8" w:space="0"/>
          <w:bottom w:val="single" w:color="7BA0CD" w:sz="8" w:space="0"/>
          <w:right w:val="single" w:color="7BA0CD" w:sz="8" w:space="0"/>
          <w:insideH w:val="nil"/>
          <w:insideV w:val="nil"/>
          <w:tl2br w:val="nil"/>
          <w:tr2bl w:val="nil"/>
        </w:tcBorders>
        <w:shd w:val="clear" w:color="auto" w:fill="4F81BD"/>
      </w:tcPr>
    </w:tblStylePr>
    <w:tblStylePr w:type="lastRow">
      <w:pPr>
        <w:spacing w:before="0" w:after="0"/>
      </w:pPr>
      <w:rPr>
        <w:rFonts w:cs="Times New Roman"/>
        <w:b/>
        <w:bCs/>
      </w:rPr>
      <w:tcPr>
        <w:tcBorders>
          <w:top w:val="double" w:color="7BA0CD" w:sz="6" w:space="0"/>
          <w:left w:val="single" w:color="7BA0CD" w:sz="8" w:space="0"/>
          <w:bottom w:val="single" w:color="7BA0CD" w:sz="8" w:space="0"/>
          <w:right w:val="single" w:color="7BA0CD"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D3DFEE"/>
      </w:tcPr>
    </w:tblStylePr>
    <w:tblStylePr w:type="band1Horz">
      <w:rPr>
        <w:rFonts w:cs="Times New Roman"/>
      </w:rPr>
      <w:tcPr>
        <w:shd w:val="clear" w:color="auto" w:fill="D3DFEE"/>
      </w:tcPr>
    </w:tblStylePr>
  </w:style>
  <w:style w:type="table" w:customStyle="1" w:styleId="109">
    <w:name w:val="Medium List 2 - Accent 3"/>
    <w:basedOn w:val="18"/>
    <w:qFormat/>
    <w:uiPriority w:val="66"/>
    <w:rPr>
      <w:rFonts w:ascii="Cambria" w:hAnsi="Cambria"/>
      <w:color w:val="000000"/>
    </w:rPr>
    <w:tblPr>
      <w:tblBorders>
        <w:top w:val="single" w:color="9BBB59" w:sz="8" w:space="0"/>
        <w:left w:val="single" w:color="9BBB59" w:sz="8" w:space="0"/>
        <w:bottom w:val="single" w:color="9BBB59" w:sz="8" w:space="0"/>
        <w:right w:val="single" w:color="9BBB59" w:sz="8" w:space="0"/>
      </w:tblBorders>
      <w:tblCellMar>
        <w:top w:w="0" w:type="dxa"/>
        <w:left w:w="108" w:type="dxa"/>
        <w:bottom w:w="0" w:type="dxa"/>
        <w:right w:w="108" w:type="dxa"/>
      </w:tblCellMar>
    </w:tblPr>
    <w:tblStylePr w:type="firstRow">
      <w:rPr>
        <w:rFonts w:cs="Times New Roman"/>
        <w:sz w:val="24"/>
        <w:szCs w:val="24"/>
      </w:rPr>
      <w:tcPr>
        <w:tcBorders>
          <w:top w:val="nil"/>
          <w:left w:val="single" w:color="9BBB59" w:sz="24" w:space="0"/>
          <w:bottom w:val="nil"/>
          <w:right w:val="nil"/>
          <w:insideH w:val="nil"/>
          <w:insideV w:val="nil"/>
          <w:tl2br w:val="nil"/>
          <w:tr2bl w:val="nil"/>
        </w:tcBorders>
        <w:shd w:val="clear" w:color="auto" w:fill="FFFFFF"/>
      </w:tcPr>
    </w:tblStylePr>
    <w:tblStylePr w:type="lastRow">
      <w:rPr>
        <w:rFonts w:cs="Times New Roman"/>
      </w:rPr>
      <w:tcPr>
        <w:tcBorders>
          <w:top w:val="single" w:color="9BBB59"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9BBB59" w:sz="8" w:space="0"/>
          <w:insideH w:val="nil"/>
          <w:insideV w:val="nil"/>
          <w:tl2br w:val="nil"/>
          <w:tr2bl w:val="nil"/>
        </w:tcBorders>
        <w:shd w:val="clear" w:color="auto" w:fill="FFFFFF"/>
      </w:tcPr>
    </w:tblStylePr>
    <w:tblStylePr w:type="lastCol">
      <w:rPr>
        <w:rFonts w:cs="Times New Roman"/>
      </w:rPr>
      <w:tcPr>
        <w:tcBorders>
          <w:top w:val="nil"/>
          <w:left w:val="nil"/>
          <w:bottom w:val="single" w:color="9BBB59"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E6EED5"/>
      </w:tcPr>
    </w:tblStylePr>
    <w:tblStylePr w:type="band1Horz">
      <w:rPr>
        <w:rFonts w:cs="Times New Roman"/>
      </w:rPr>
      <w:tcPr>
        <w:tcBorders>
          <w:top w:val="nil"/>
          <w:left w:val="nil"/>
          <w:bottom w:val="nil"/>
          <w:right w:val="nil"/>
          <w:insideH w:val="nil"/>
          <w:insideV w:val="nil"/>
          <w:tl2br w:val="nil"/>
          <w:tr2bl w:val="nil"/>
        </w:tcBorders>
        <w:shd w:val="clear" w:color="auto" w:fill="E6EED5"/>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10">
    <w:name w:val="浅色列表1"/>
    <w:basedOn w:val="18"/>
    <w:qFormat/>
    <w:uiPriority w:val="61"/>
    <w:rPr>
      <w:sz w:val="22"/>
    </w:rPr>
    <w:tblPr>
      <w:tblBorders>
        <w:top w:val="single" w:color="000000" w:sz="8" w:space="0"/>
        <w:left w:val="single" w:color="000000" w:sz="8" w:space="0"/>
        <w:bottom w:val="single" w:color="000000" w:sz="8" w:space="0"/>
        <w:right w:val="single" w:color="000000"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000000"/>
      </w:tcPr>
    </w:tblStylePr>
    <w:tblStylePr w:type="lastRow">
      <w:pPr>
        <w:spacing w:before="0" w:after="0"/>
      </w:pPr>
      <w:rPr>
        <w:rFonts w:cs="Times New Roman"/>
        <w:b/>
        <w:bCs/>
      </w:rPr>
      <w:tcPr>
        <w:tcBorders>
          <w:top w:val="double" w:color="000000" w:sz="6" w:space="0"/>
          <w:left w:val="single" w:color="000000" w:sz="8" w:space="0"/>
          <w:bottom w:val="single" w:color="000000" w:sz="8" w:space="0"/>
          <w:right w:val="single" w:color="000000"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Horz">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style>
  <w:style w:type="table" w:customStyle="1" w:styleId="111">
    <w:name w:val="Medium List 2 - Accent 5"/>
    <w:basedOn w:val="18"/>
    <w:qFormat/>
    <w:uiPriority w:val="66"/>
    <w:rPr>
      <w:rFonts w:ascii="Cambria" w:hAnsi="Cambria"/>
      <w:color w:val="000000"/>
    </w:rPr>
    <w:tblPr>
      <w:tblBorders>
        <w:top w:val="single" w:color="4BACC6" w:sz="8" w:space="0"/>
        <w:left w:val="single" w:color="4BACC6" w:sz="8" w:space="0"/>
        <w:bottom w:val="single" w:color="4BACC6" w:sz="8" w:space="0"/>
        <w:right w:val="single" w:color="4BACC6" w:sz="8" w:space="0"/>
      </w:tblBorders>
      <w:tblCellMar>
        <w:top w:w="0" w:type="dxa"/>
        <w:left w:w="108" w:type="dxa"/>
        <w:bottom w:w="0" w:type="dxa"/>
        <w:right w:w="108" w:type="dxa"/>
      </w:tblCellMar>
    </w:tblPr>
    <w:tblStylePr w:type="firstRow">
      <w:rPr>
        <w:rFonts w:cs="Times New Roman"/>
        <w:sz w:val="24"/>
        <w:szCs w:val="24"/>
      </w:rPr>
      <w:tcPr>
        <w:tcBorders>
          <w:top w:val="nil"/>
          <w:left w:val="single" w:color="4BACC6" w:sz="24" w:space="0"/>
          <w:bottom w:val="nil"/>
          <w:right w:val="nil"/>
          <w:insideH w:val="nil"/>
          <w:insideV w:val="nil"/>
          <w:tl2br w:val="nil"/>
          <w:tr2bl w:val="nil"/>
        </w:tcBorders>
        <w:shd w:val="clear" w:color="auto" w:fill="FFFFFF"/>
      </w:tcPr>
    </w:tblStylePr>
    <w:tblStylePr w:type="lastRow">
      <w:rPr>
        <w:rFonts w:cs="Times New Roman"/>
      </w:rPr>
      <w:tcPr>
        <w:tcBorders>
          <w:top w:val="single" w:color="4BACC6"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BACC6" w:sz="8" w:space="0"/>
          <w:insideH w:val="nil"/>
          <w:insideV w:val="nil"/>
          <w:tl2br w:val="nil"/>
          <w:tr2bl w:val="nil"/>
        </w:tcBorders>
        <w:shd w:val="clear" w:color="auto" w:fill="FFFFFF"/>
      </w:tcPr>
    </w:tblStylePr>
    <w:tblStylePr w:type="lastCol">
      <w:rPr>
        <w:rFonts w:cs="Times New Roman"/>
      </w:rPr>
      <w:tcPr>
        <w:tcBorders>
          <w:top w:val="nil"/>
          <w:left w:val="nil"/>
          <w:bottom w:val="single" w:color="4BACC6"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2EAF0"/>
      </w:tcPr>
    </w:tblStylePr>
    <w:tblStylePr w:type="band1Horz">
      <w:rPr>
        <w:rFonts w:cs="Times New Roman"/>
      </w:rPr>
      <w:tcPr>
        <w:tcBorders>
          <w:top w:val="nil"/>
          <w:left w:val="nil"/>
          <w:bottom w:val="nil"/>
          <w:right w:val="nil"/>
          <w:insideH w:val="nil"/>
          <w:insideV w:val="nil"/>
          <w:tl2br w:val="nil"/>
          <w:tr2bl w:val="nil"/>
        </w:tcBorders>
        <w:shd w:val="clear" w:color="auto" w:fill="D2EAF0"/>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12">
    <w:name w:val="浅色网格 - 强调文字颜色 11"/>
    <w:basedOn w:val="18"/>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4F81BD" w:sz="8" w:space="0"/>
          <w:left w:val="single" w:color="4F81BD" w:sz="18" w:space="0"/>
          <w:bottom w:val="single" w:color="4F81BD" w:sz="8" w:space="0"/>
          <w:right w:val="single" w:color="4F81BD"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4F81BD" w:sz="6" w:space="0"/>
          <w:left w:val="single" w:color="4F81BD" w:sz="8" w:space="0"/>
          <w:bottom w:val="single" w:color="4F81BD" w:sz="8" w:space="0"/>
          <w:right w:val="single" w:color="4F81BD"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tblStylePr w:type="band1Vert">
      <w:rPr>
        <w:rFonts w:cs="Times New Roman"/>
      </w:rPr>
      <w:tcPr>
        <w:tcBorders>
          <w:top w:val="single" w:color="4F81BD" w:sz="8" w:space="0"/>
          <w:left w:val="single" w:color="4F81BD" w:sz="8" w:space="0"/>
          <w:bottom w:val="single" w:color="4F81BD" w:sz="8" w:space="0"/>
          <w:right w:val="single" w:color="4F81BD" w:sz="8" w:space="0"/>
          <w:insideH w:val="nil"/>
          <w:insideV w:val="nil"/>
          <w:tl2br w:val="nil"/>
          <w:tr2bl w:val="nil"/>
        </w:tcBorders>
        <w:shd w:val="clear" w:color="auto" w:fill="D3DFEE"/>
      </w:tcPr>
    </w:tblStylePr>
    <w:tblStylePr w:type="band1Horz">
      <w:rPr>
        <w:rFonts w:cs="Times New Roman"/>
      </w:rPr>
      <w:tcPr>
        <w:tcBorders>
          <w:top w:val="single" w:color="4F81BD" w:sz="8" w:space="0"/>
          <w:left w:val="single" w:color="4F81BD" w:sz="8" w:space="0"/>
          <w:bottom w:val="single" w:color="4F81BD" w:sz="8" w:space="0"/>
          <w:right w:val="single" w:color="4F81BD" w:sz="8" w:space="0"/>
          <w:insideH w:val="nil"/>
          <w:insideV w:val="single" w:sz="8" w:space="0"/>
          <w:tl2br w:val="nil"/>
          <w:tr2bl w:val="nil"/>
        </w:tcBorders>
        <w:shd w:val="clear" w:color="auto" w:fill="D3DFEE"/>
      </w:tcPr>
    </w:tblStylePr>
    <w:tblStylePr w:type="band2Horz">
      <w:rPr>
        <w:rFonts w:cs="Times New Roman"/>
      </w:rPr>
      <w:tcPr>
        <w:tcBorders>
          <w:top w:val="single" w:color="4F81BD" w:sz="8" w:space="0"/>
          <w:left w:val="single" w:color="4F81BD" w:sz="8" w:space="0"/>
          <w:bottom w:val="single" w:color="4F81BD" w:sz="8" w:space="0"/>
          <w:right w:val="single" w:color="4F81BD" w:sz="8" w:space="0"/>
          <w:insideH w:val="nil"/>
          <w:insideV w:val="single" w:sz="8" w:space="0"/>
          <w:tl2br w:val="nil"/>
          <w:tr2bl w:val="nil"/>
        </w:tcBorders>
      </w:tcPr>
    </w:tblStylePr>
  </w:style>
  <w:style w:type="table" w:customStyle="1" w:styleId="113">
    <w:name w:val="Medium List 2 - Accent 6"/>
    <w:basedOn w:val="18"/>
    <w:qFormat/>
    <w:uiPriority w:val="66"/>
    <w:rPr>
      <w:rFonts w:ascii="Cambria" w:hAnsi="Cambria"/>
      <w:color w:val="000000"/>
    </w:rPr>
    <w:tblPr>
      <w:tblBorders>
        <w:top w:val="single" w:color="F79646" w:sz="8" w:space="0"/>
        <w:left w:val="single" w:color="F79646" w:sz="8" w:space="0"/>
        <w:bottom w:val="single" w:color="F79646" w:sz="8" w:space="0"/>
        <w:right w:val="single" w:color="F79646" w:sz="8" w:space="0"/>
      </w:tblBorders>
      <w:tblCellMar>
        <w:top w:w="0" w:type="dxa"/>
        <w:left w:w="108" w:type="dxa"/>
        <w:bottom w:w="0" w:type="dxa"/>
        <w:right w:w="108" w:type="dxa"/>
      </w:tblCellMar>
    </w:tblPr>
    <w:tblStylePr w:type="firstRow">
      <w:rPr>
        <w:rFonts w:cs="Times New Roman"/>
        <w:sz w:val="24"/>
        <w:szCs w:val="24"/>
      </w:rPr>
      <w:tcPr>
        <w:tcBorders>
          <w:top w:val="nil"/>
          <w:left w:val="single" w:color="F79646" w:sz="24" w:space="0"/>
          <w:bottom w:val="nil"/>
          <w:right w:val="nil"/>
          <w:insideH w:val="nil"/>
          <w:insideV w:val="nil"/>
          <w:tl2br w:val="nil"/>
          <w:tr2bl w:val="nil"/>
        </w:tcBorders>
        <w:shd w:val="clear" w:color="auto" w:fill="FFFFFF"/>
      </w:tcPr>
    </w:tblStylePr>
    <w:tblStylePr w:type="lastRow">
      <w:rPr>
        <w:rFonts w:cs="Times New Roman"/>
      </w:rPr>
      <w:tcPr>
        <w:tcBorders>
          <w:top w:val="single" w:color="F79646"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F79646" w:sz="8" w:space="0"/>
          <w:insideH w:val="nil"/>
          <w:insideV w:val="nil"/>
          <w:tl2br w:val="nil"/>
          <w:tr2bl w:val="nil"/>
        </w:tcBorders>
        <w:shd w:val="clear" w:color="auto" w:fill="FFFFFF"/>
      </w:tcPr>
    </w:tblStylePr>
    <w:tblStylePr w:type="lastCol">
      <w:rPr>
        <w:rFonts w:cs="Times New Roman"/>
      </w:rPr>
      <w:tcPr>
        <w:tcBorders>
          <w:top w:val="nil"/>
          <w:left w:val="nil"/>
          <w:bottom w:val="single" w:color="F79646"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FDE5D1"/>
      </w:tcPr>
    </w:tblStylePr>
    <w:tblStylePr w:type="band1Horz">
      <w:rPr>
        <w:rFonts w:cs="Times New Roman"/>
      </w:rPr>
      <w:tcPr>
        <w:tcBorders>
          <w:top w:val="nil"/>
          <w:left w:val="nil"/>
          <w:bottom w:val="nil"/>
          <w:right w:val="nil"/>
          <w:insideH w:val="nil"/>
          <w:insideV w:val="nil"/>
          <w:tl2br w:val="nil"/>
          <w:tr2bl w:val="nil"/>
        </w:tcBorders>
        <w:shd w:val="clear" w:color="auto" w:fill="FDE5D1"/>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14">
    <w:name w:val="浅色列表2"/>
    <w:basedOn w:val="18"/>
    <w:qFormat/>
    <w:uiPriority w:val="61"/>
    <w:tblPr>
      <w:tblBorders>
        <w:top w:val="single" w:color="000000" w:sz="8" w:space="0"/>
        <w:left w:val="single" w:color="000000" w:sz="8" w:space="0"/>
        <w:bottom w:val="single" w:color="000000" w:sz="8" w:space="0"/>
        <w:right w:val="single" w:color="000000"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000000"/>
      </w:tcPr>
    </w:tblStylePr>
    <w:tblStylePr w:type="lastRow">
      <w:pPr>
        <w:spacing w:before="0" w:after="0"/>
      </w:pPr>
      <w:rPr>
        <w:rFonts w:cs="Times New Roman"/>
        <w:b/>
        <w:bCs/>
      </w:rPr>
      <w:tcPr>
        <w:tcBorders>
          <w:top w:val="double" w:color="000000" w:sz="6" w:space="0"/>
          <w:left w:val="single" w:color="000000" w:sz="8" w:space="0"/>
          <w:bottom w:val="single" w:color="000000" w:sz="8" w:space="0"/>
          <w:right w:val="single" w:color="000000"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Horz">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style>
  <w:style w:type="table" w:customStyle="1" w:styleId="115">
    <w:name w:val="Medium Grid 1 - Accent 1"/>
    <w:basedOn w:val="18"/>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CellMar>
        <w:top w:w="0" w:type="dxa"/>
        <w:left w:w="108" w:type="dxa"/>
        <w:bottom w:w="0" w:type="dxa"/>
        <w:right w:w="108" w:type="dxa"/>
      </w:tblCellMar>
    </w:tblPr>
    <w:tcPr>
      <w:shd w:val="clear" w:color="auto" w:fill="D3DFEE"/>
    </w:tcPr>
    <w:tblStylePr w:type="firstRow">
      <w:rPr>
        <w:rFonts w:cs="Times New Roman"/>
        <w:b/>
        <w:bCs/>
      </w:rPr>
    </w:tblStylePr>
    <w:tblStylePr w:type="lastRow">
      <w:rPr>
        <w:rFonts w:cs="Times New Roman"/>
        <w:b/>
        <w:bCs/>
      </w:rPr>
      <w:tcPr>
        <w:tcBorders>
          <w:top w:val="single" w:color="7BA0CD"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A7C0DE"/>
      </w:tcPr>
    </w:tblStylePr>
    <w:tblStylePr w:type="band1Horz">
      <w:rPr>
        <w:rFonts w:cs="Times New Roman"/>
      </w:rPr>
      <w:tcPr>
        <w:shd w:val="clear" w:color="auto" w:fill="A7C0DE"/>
      </w:tcPr>
    </w:tblStylePr>
  </w:style>
  <w:style w:type="table" w:customStyle="1" w:styleId="116">
    <w:name w:val="中等深浅列表 1 - 强调文字颜色 11"/>
    <w:basedOn w:val="18"/>
    <w:qFormat/>
    <w:uiPriority w:val="65"/>
    <w:rPr>
      <w:color w:val="000000"/>
    </w:rPr>
    <w:tblPr>
      <w:tblBorders>
        <w:top w:val="single" w:color="4F81BD" w:sz="8" w:space="0"/>
        <w:bottom w:val="single" w:color="4F81BD" w:sz="8" w:space="0"/>
      </w:tblBorders>
      <w:tblCellMar>
        <w:top w:w="0" w:type="dxa"/>
        <w:left w:w="108" w:type="dxa"/>
        <w:bottom w:w="0" w:type="dxa"/>
        <w:right w:w="108" w:type="dxa"/>
      </w:tblCellMar>
    </w:tblPr>
    <w:tblStylePr w:type="firstRow">
      <w:rPr>
        <w:rFonts w:ascii="Helvetica" w:hAnsi="Helvetica" w:eastAsia="Times New Roman" w:cs="Times New Roman"/>
      </w:rPr>
      <w:tcPr>
        <w:tcBorders>
          <w:top w:val="nil"/>
          <w:left w:val="single" w:color="4F81BD" w:sz="8" w:space="0"/>
          <w:bottom w:val="nil"/>
          <w:right w:val="nil"/>
          <w:insideH w:val="nil"/>
          <w:insideV w:val="nil"/>
          <w:tl2br w:val="nil"/>
          <w:tr2bl w:val="nil"/>
        </w:tcBorders>
      </w:tcPr>
    </w:tblStylePr>
    <w:tblStylePr w:type="lastRow">
      <w:rPr>
        <w:rFonts w:cs="Times New Roman"/>
        <w:b/>
        <w:bCs/>
        <w:color w:val="1F497D"/>
      </w:rPr>
      <w:tcPr>
        <w:tcBorders>
          <w:top w:val="single" w:color="4F81BD" w:sz="8" w:space="0"/>
          <w:left w:val="single" w:color="4F81BD"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cPr>
        <w:tcBorders>
          <w:top w:val="single" w:color="4F81BD" w:sz="8" w:space="0"/>
          <w:left w:val="single" w:color="4F81BD" w:sz="8" w:space="0"/>
          <w:bottom w:val="nil"/>
          <w:right w:val="nil"/>
          <w:insideH w:val="nil"/>
          <w:insideV w:val="nil"/>
          <w:tl2br w:val="nil"/>
          <w:tr2bl w:val="nil"/>
        </w:tcBorders>
      </w:tcPr>
    </w:tblStylePr>
    <w:tblStylePr w:type="band1Vert">
      <w:rPr>
        <w:rFonts w:cs="Times New Roman"/>
      </w:rPr>
      <w:tcPr>
        <w:shd w:val="clear" w:color="auto" w:fill="D3DFEE"/>
      </w:tcPr>
    </w:tblStylePr>
    <w:tblStylePr w:type="band1Horz">
      <w:rPr>
        <w:rFonts w:cs="Times New Roman"/>
      </w:rPr>
      <w:tcPr>
        <w:shd w:val="clear" w:color="auto" w:fill="D3DFEE"/>
      </w:tcPr>
    </w:tblStylePr>
  </w:style>
  <w:style w:type="table" w:customStyle="1" w:styleId="117">
    <w:name w:val="Medium Grid 1 - Accent 2"/>
    <w:basedOn w:val="18"/>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3"/>
    </w:tcPr>
    <w:tblStylePr w:type="firstRow">
      <w:rPr>
        <w:rFonts w:cs="Times New Roman"/>
        <w:b/>
        <w:bCs/>
      </w:rPr>
    </w:tblStylePr>
    <w:tblStylePr w:type="lastRow">
      <w:rPr>
        <w:rFonts w:cs="Times New Roman"/>
        <w:b/>
        <w:bCs/>
      </w:rPr>
      <w:tcPr>
        <w:tcBorders>
          <w:top w:val="single" w:color="CF7B79"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DFA7A6"/>
      </w:tcPr>
    </w:tblStylePr>
    <w:tblStylePr w:type="band1Horz">
      <w:rPr>
        <w:rFonts w:cs="Times New Roman"/>
      </w:rPr>
      <w:tcPr>
        <w:shd w:val="clear" w:color="auto" w:fill="DFA7A6"/>
      </w:tcPr>
    </w:tblStylePr>
  </w:style>
  <w:style w:type="table" w:customStyle="1" w:styleId="118">
    <w:name w:val="中等深浅底纹 21"/>
    <w:basedOn w:val="18"/>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000000"/>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000000"/>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000000"/>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119">
    <w:name w:val="Medium Grid 1 - Accent 3"/>
    <w:basedOn w:val="18"/>
    <w:qFormat/>
    <w:uiPriority w:val="67"/>
    <w:tblPr>
      <w:tblBorders>
        <w:top w:val="single" w:color="B4CC82" w:sz="8" w:space="0"/>
        <w:left w:val="single" w:color="B4CC82" w:sz="8" w:space="0"/>
        <w:bottom w:val="single" w:color="B4CC82" w:sz="8" w:space="0"/>
        <w:right w:val="single" w:color="B4CC82" w:sz="8" w:space="0"/>
        <w:insideH w:val="single" w:color="B4CC82" w:sz="8" w:space="0"/>
        <w:insideV w:val="single" w:color="B4CC82" w:sz="8" w:space="0"/>
      </w:tblBorders>
      <w:tblCellMar>
        <w:top w:w="0" w:type="dxa"/>
        <w:left w:w="108" w:type="dxa"/>
        <w:bottom w:w="0" w:type="dxa"/>
        <w:right w:w="108" w:type="dxa"/>
      </w:tblCellMar>
    </w:tblPr>
    <w:tcPr>
      <w:shd w:val="clear" w:color="auto" w:fill="E6EED5"/>
    </w:tcPr>
    <w:tblStylePr w:type="firstRow">
      <w:rPr>
        <w:rFonts w:cs="Times New Roman"/>
        <w:b/>
        <w:bCs/>
      </w:rPr>
    </w:tblStylePr>
    <w:tblStylePr w:type="lastRow">
      <w:rPr>
        <w:rFonts w:cs="Times New Roman"/>
        <w:b/>
        <w:bCs/>
      </w:rPr>
      <w:tcPr>
        <w:tcBorders>
          <w:top w:val="single" w:color="B4CC82"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CDDDAC"/>
      </w:tcPr>
    </w:tblStylePr>
    <w:tblStylePr w:type="band1Horz">
      <w:rPr>
        <w:rFonts w:cs="Times New Roman"/>
      </w:rPr>
      <w:tcPr>
        <w:shd w:val="clear" w:color="auto" w:fill="CDDDAC"/>
      </w:tcPr>
    </w:tblStylePr>
  </w:style>
  <w:style w:type="table" w:customStyle="1" w:styleId="120">
    <w:name w:val="浅色列表 - 强调文字颜色 11"/>
    <w:basedOn w:val="18"/>
    <w:qFormat/>
    <w:uiPriority w:val="61"/>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4F81BD"/>
      </w:tcPr>
    </w:tblStylePr>
    <w:tblStylePr w:type="lastRow">
      <w:pPr>
        <w:spacing w:before="0" w:after="0"/>
      </w:pPr>
      <w:rPr>
        <w:rFonts w:cs="Times New Roman"/>
        <w:b/>
        <w:bCs/>
      </w:rPr>
      <w:tcPr>
        <w:tcBorders>
          <w:top w:val="double" w:color="4F81BD" w:sz="6" w:space="0"/>
          <w:left w:val="single" w:color="4F81BD" w:sz="8" w:space="0"/>
          <w:bottom w:val="single" w:color="4F81BD" w:sz="8" w:space="0"/>
          <w:right w:val="single" w:color="4F81BD"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tblStylePr w:type="band1Horz">
      <w:rPr>
        <w:rFonts w:cs="Times New Roman"/>
      </w:rPr>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style>
  <w:style w:type="table" w:customStyle="1" w:styleId="121">
    <w:name w:val="Medium Grid 1 - Accent 4"/>
    <w:basedOn w:val="18"/>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
    <w:tcPr>
      <w:shd w:val="clear" w:color="auto" w:fill="DFD8E8"/>
    </w:tcPr>
    <w:tblStylePr w:type="firstRow">
      <w:rPr>
        <w:rFonts w:cs="Times New Roman"/>
        <w:b/>
        <w:bCs/>
      </w:rPr>
    </w:tblStylePr>
    <w:tblStylePr w:type="lastRow">
      <w:rPr>
        <w:rFonts w:cs="Times New Roman"/>
        <w:b/>
        <w:bCs/>
      </w:rPr>
      <w:tcPr>
        <w:tcBorders>
          <w:top w:val="single" w:color="9F8AB9"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BFB1D0"/>
      </w:tcPr>
    </w:tblStylePr>
    <w:tblStylePr w:type="band1Horz">
      <w:rPr>
        <w:rFonts w:cs="Times New Roman"/>
      </w:rPr>
      <w:tcPr>
        <w:shd w:val="clear" w:color="auto" w:fill="BFB1D0"/>
      </w:tcPr>
    </w:tblStylePr>
  </w:style>
  <w:style w:type="table" w:customStyle="1" w:styleId="122">
    <w:name w:val="Medium Grid 1 - Accent 5"/>
    <w:basedOn w:val="18"/>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CellMar>
        <w:top w:w="0" w:type="dxa"/>
        <w:left w:w="108" w:type="dxa"/>
        <w:bottom w:w="0" w:type="dxa"/>
        <w:right w:w="108" w:type="dxa"/>
      </w:tblCellMar>
    </w:tblPr>
    <w:tcPr>
      <w:shd w:val="clear" w:color="auto" w:fill="D2EAF0"/>
    </w:tcPr>
    <w:tblStylePr w:type="firstRow">
      <w:rPr>
        <w:rFonts w:cs="Times New Roman"/>
        <w:b/>
        <w:bCs/>
      </w:rPr>
    </w:tblStylePr>
    <w:tblStylePr w:type="lastRow">
      <w:rPr>
        <w:rFonts w:cs="Times New Roman"/>
        <w:b/>
        <w:bCs/>
      </w:rPr>
      <w:tcPr>
        <w:tcBorders>
          <w:top w:val="single" w:color="78C0D4"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A5D5E2"/>
      </w:tcPr>
    </w:tblStylePr>
    <w:tblStylePr w:type="band1Horz">
      <w:rPr>
        <w:rFonts w:cs="Times New Roman"/>
      </w:rPr>
      <w:tcPr>
        <w:shd w:val="clear" w:color="auto" w:fill="A5D5E2"/>
      </w:tcPr>
    </w:tblStylePr>
  </w:style>
  <w:style w:type="table" w:customStyle="1" w:styleId="123">
    <w:name w:val="Medium Grid 1 - Accent 6"/>
    <w:basedOn w:val="18"/>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CellMar>
        <w:top w:w="0" w:type="dxa"/>
        <w:left w:w="108" w:type="dxa"/>
        <w:bottom w:w="0" w:type="dxa"/>
        <w:right w:w="108" w:type="dxa"/>
      </w:tblCellMar>
    </w:tblPr>
    <w:tcPr>
      <w:shd w:val="clear" w:color="auto" w:fill="FDE5D1"/>
    </w:tcPr>
    <w:tblStylePr w:type="firstRow">
      <w:rPr>
        <w:rFonts w:cs="Times New Roman"/>
        <w:b/>
        <w:bCs/>
      </w:rPr>
    </w:tblStylePr>
    <w:tblStylePr w:type="lastRow">
      <w:rPr>
        <w:rFonts w:cs="Times New Roman"/>
        <w:b/>
        <w:bCs/>
      </w:rPr>
      <w:tcPr>
        <w:tcBorders>
          <w:top w:val="single" w:color="F9B074"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FBCAA2"/>
      </w:tcPr>
    </w:tblStylePr>
    <w:tblStylePr w:type="band1Horz">
      <w:rPr>
        <w:rFonts w:cs="Times New Roman"/>
      </w:rPr>
      <w:tcPr>
        <w:shd w:val="clear" w:color="auto" w:fill="FBCAA2"/>
      </w:tcPr>
    </w:tblStylePr>
  </w:style>
  <w:style w:type="table" w:customStyle="1" w:styleId="124">
    <w:name w:val="Medium Grid 2 - Accent 3"/>
    <w:basedOn w:val="18"/>
    <w:qFormat/>
    <w:uiPriority w:val="68"/>
    <w:rPr>
      <w:rFonts w:ascii="Cambria" w:hAnsi="Cambria"/>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CellMar>
        <w:top w:w="0" w:type="dxa"/>
        <w:left w:w="108" w:type="dxa"/>
        <w:bottom w:w="0" w:type="dxa"/>
        <w:right w:w="108" w:type="dxa"/>
      </w:tblCellMar>
    </w:tblPr>
    <w:tcPr>
      <w:shd w:val="clear" w:color="auto" w:fill="E6EED5"/>
    </w:tcPr>
    <w:tblStylePr w:type="firstRow">
      <w:rPr>
        <w:rFonts w:cs="Times New Roman"/>
        <w:b/>
        <w:bCs/>
        <w:color w:val="000000"/>
      </w:rPr>
      <w:tcPr>
        <w:shd w:val="clear" w:color="auto" w:fill="F5F8EE"/>
      </w:tcPr>
    </w:tblStylePr>
    <w:tblStylePr w:type="lastRow">
      <w:rPr>
        <w:rFonts w:cs="Times New Roman"/>
        <w:b/>
        <w:bCs/>
        <w:color w:val="000000"/>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color w:val="000000"/>
      </w:rPr>
      <w:tcPr>
        <w:tcBorders>
          <w:top w:val="nil"/>
          <w:left w:val="nil"/>
          <w:bottom w:val="nil"/>
          <w:right w:val="nil"/>
          <w:insideH w:val="nil"/>
          <w:insideV w:val="nil"/>
          <w:tl2br w:val="nil"/>
          <w:tr2bl w:val="nil"/>
        </w:tcBorders>
        <w:shd w:val="clear" w:color="auto" w:fill="FFFFFF"/>
      </w:tcPr>
    </w:tblStylePr>
    <w:tblStylePr w:type="lastCol">
      <w:rPr>
        <w:rFonts w:cs="Times New Roman"/>
        <w:b w:val="0"/>
        <w:bCs w:val="0"/>
        <w:color w:val="000000"/>
      </w:rPr>
      <w:tcPr>
        <w:tcBorders>
          <w:top w:val="nil"/>
          <w:left w:val="nil"/>
          <w:bottom w:val="nil"/>
          <w:right w:val="nil"/>
          <w:insideH w:val="nil"/>
          <w:insideV w:val="nil"/>
          <w:tl2br w:val="nil"/>
          <w:tr2bl w:val="nil"/>
        </w:tcBorders>
        <w:shd w:val="clear" w:color="auto" w:fill="EAF1DD"/>
      </w:tcPr>
    </w:tblStylePr>
    <w:tblStylePr w:type="band1Vert">
      <w:rPr>
        <w:rFonts w:cs="Times New Roman"/>
      </w:rPr>
      <w:tcPr>
        <w:shd w:val="clear" w:color="auto" w:fill="CDDDAC"/>
      </w:tcPr>
    </w:tblStylePr>
    <w:tblStylePr w:type="band1Horz">
      <w:rPr>
        <w:rFonts w:cs="Times New Roman"/>
      </w:rPr>
      <w:tcPr>
        <w:shd w:val="clear" w:color="auto" w:fill="CDDDAC"/>
      </w:tcPr>
    </w:tblStylePr>
    <w:tblStylePr w:type="nwCell">
      <w:rPr>
        <w:rFonts w:cs="Times New Roman"/>
      </w:rPr>
      <w:tcPr>
        <w:shd w:val="clear" w:color="auto" w:fill="FFFFFF"/>
      </w:tcPr>
    </w:tblStylePr>
  </w:style>
  <w:style w:type="table" w:customStyle="1" w:styleId="125">
    <w:name w:val="Medium Grid 2 - Accent 5"/>
    <w:basedOn w:val="18"/>
    <w:qFormat/>
    <w:uiPriority w:val="68"/>
    <w:rPr>
      <w:rFonts w:ascii="Cambria" w:hAnsi="Cambria"/>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CellMar>
        <w:top w:w="0" w:type="dxa"/>
        <w:left w:w="108" w:type="dxa"/>
        <w:bottom w:w="0" w:type="dxa"/>
        <w:right w:w="108" w:type="dxa"/>
      </w:tblCellMar>
    </w:tblPr>
    <w:tcPr>
      <w:shd w:val="clear" w:color="auto" w:fill="D2EAF0"/>
    </w:tcPr>
    <w:tblStylePr w:type="firstRow">
      <w:rPr>
        <w:rFonts w:cs="Times New Roman"/>
        <w:b/>
        <w:bCs/>
        <w:color w:val="000000"/>
      </w:rPr>
      <w:tcPr>
        <w:shd w:val="clear" w:color="auto" w:fill="EDF6F9"/>
      </w:tcPr>
    </w:tblStylePr>
    <w:tblStylePr w:type="lastRow">
      <w:rPr>
        <w:rFonts w:cs="Times New Roman"/>
        <w:b/>
        <w:bCs/>
        <w:color w:val="000000"/>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color w:val="000000"/>
      </w:rPr>
      <w:tcPr>
        <w:tcBorders>
          <w:top w:val="nil"/>
          <w:left w:val="nil"/>
          <w:bottom w:val="nil"/>
          <w:right w:val="nil"/>
          <w:insideH w:val="nil"/>
          <w:insideV w:val="nil"/>
          <w:tl2br w:val="nil"/>
          <w:tr2bl w:val="nil"/>
        </w:tcBorders>
        <w:shd w:val="clear" w:color="auto" w:fill="FFFFFF"/>
      </w:tcPr>
    </w:tblStylePr>
    <w:tblStylePr w:type="lastCol">
      <w:rPr>
        <w:rFonts w:cs="Times New Roman"/>
        <w:b w:val="0"/>
        <w:bCs w:val="0"/>
        <w:color w:val="000000"/>
      </w:rPr>
      <w:tcPr>
        <w:tcBorders>
          <w:top w:val="nil"/>
          <w:left w:val="nil"/>
          <w:bottom w:val="nil"/>
          <w:right w:val="nil"/>
          <w:insideH w:val="nil"/>
          <w:insideV w:val="nil"/>
          <w:tl2br w:val="nil"/>
          <w:tr2bl w:val="nil"/>
        </w:tcBorders>
        <w:shd w:val="clear" w:color="auto" w:fill="DAEEF3"/>
      </w:tcPr>
    </w:tblStylePr>
    <w:tblStylePr w:type="band1Vert">
      <w:rPr>
        <w:rFonts w:cs="Times New Roman"/>
      </w:rPr>
      <w:tcPr>
        <w:shd w:val="clear" w:color="auto" w:fill="A5D5E2"/>
      </w:tcPr>
    </w:tblStylePr>
    <w:tblStylePr w:type="band1Horz">
      <w:rPr>
        <w:rFonts w:cs="Times New Roman"/>
      </w:rPr>
      <w:tcPr>
        <w:shd w:val="clear" w:color="auto" w:fill="A5D5E2"/>
      </w:tcPr>
    </w:tblStylePr>
    <w:tblStylePr w:type="nwCell">
      <w:rPr>
        <w:rFonts w:cs="Times New Roman"/>
      </w:rPr>
      <w:tcPr>
        <w:shd w:val="clear" w:color="auto" w:fill="FFFFFF"/>
      </w:tcPr>
    </w:tblStylePr>
  </w:style>
  <w:style w:type="table" w:customStyle="1" w:styleId="126">
    <w:name w:val="Medium Grid 3 - Accent 1"/>
    <w:basedOn w:val="1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3DFEE"/>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4F81BD"/>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4F81BD"/>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4F81BD"/>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4F81BD"/>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7C0DE"/>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A7C0DE"/>
      </w:tcPr>
    </w:tblStylePr>
  </w:style>
  <w:style w:type="table" w:customStyle="1" w:styleId="127">
    <w:name w:val="Medium Grid 3 - Accent 2"/>
    <w:basedOn w:val="1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EFD3D3"/>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C0504D"/>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C0504D"/>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C0504D"/>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C0504D"/>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DFA7A6"/>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DFA7A6"/>
      </w:tcPr>
    </w:tblStylePr>
  </w:style>
  <w:style w:type="table" w:customStyle="1" w:styleId="128">
    <w:name w:val="Medium Grid 3 - Accent 4"/>
    <w:basedOn w:val="1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FD8E8"/>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8064A2"/>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8064A2"/>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8064A2"/>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8064A2"/>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BFB1D0"/>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BFB1D0"/>
      </w:tcPr>
    </w:tblStylePr>
  </w:style>
  <w:style w:type="table" w:customStyle="1" w:styleId="129">
    <w:name w:val="Medium Grid 3 - Accent 5"/>
    <w:basedOn w:val="1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2EAF0"/>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4BACC6"/>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4BACC6"/>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4BACC6"/>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4BACC6"/>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5D5E2"/>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A5D5E2"/>
      </w:tcPr>
    </w:tblStylePr>
  </w:style>
  <w:style w:type="table" w:customStyle="1" w:styleId="130">
    <w:name w:val="Medium Grid 3 - Accent 6"/>
    <w:basedOn w:val="18"/>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FDE5D1"/>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F79646"/>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F79646"/>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F79646"/>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F79646"/>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FBCAA2"/>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FBCAA2"/>
      </w:tcPr>
    </w:tblStylePr>
  </w:style>
  <w:style w:type="table" w:customStyle="1" w:styleId="131">
    <w:name w:val="Dark List - Accent 5"/>
    <w:basedOn w:val="18"/>
    <w:qFormat/>
    <w:uiPriority w:val="70"/>
    <w:rPr>
      <w:color w:val="FFFFFF"/>
    </w:rPr>
    <w:tblPr>
      <w:tblCellMar>
        <w:top w:w="0" w:type="dxa"/>
        <w:left w:w="108" w:type="dxa"/>
        <w:bottom w:w="0" w:type="dxa"/>
        <w:right w:w="108" w:type="dxa"/>
      </w:tblCellMar>
    </w:tblPr>
    <w:tcPr>
      <w:shd w:val="clear" w:color="auto" w:fill="4BACC6"/>
    </w:tcPr>
    <w:tblStylePr w:type="firstRow">
      <w:rPr>
        <w:rFonts w:cs="Times New Roman"/>
        <w:b/>
        <w:bCs/>
      </w:rPr>
      <w:tcPr>
        <w:tcBorders>
          <w:top w:val="nil"/>
          <w:left w:val="single" w:color="FFFFFF" w:sz="18" w:space="0"/>
          <w:bottom w:val="nil"/>
          <w:right w:val="nil"/>
          <w:insideH w:val="nil"/>
          <w:insideV w:val="nil"/>
          <w:tl2br w:val="nil"/>
          <w:tr2bl w:val="nil"/>
        </w:tcBorders>
        <w:shd w:val="clear" w:color="auto" w:fill="000000"/>
      </w:tcPr>
    </w:tblStylePr>
    <w:tblStylePr w:type="lastRow">
      <w:rPr>
        <w:rFonts w:cs="Times New Roman"/>
      </w:rPr>
      <w:tcPr>
        <w:tcBorders>
          <w:top w:val="single" w:color="FFFFFF" w:sz="18" w:space="0"/>
          <w:left w:val="nil"/>
          <w:bottom w:val="nil"/>
          <w:right w:val="nil"/>
          <w:insideH w:val="nil"/>
          <w:insideV w:val="nil"/>
          <w:tl2br w:val="nil"/>
          <w:tr2bl w:val="nil"/>
        </w:tcBorders>
        <w:shd w:val="clear" w:color="auto" w:fill="205867"/>
      </w:tcPr>
    </w:tblStylePr>
    <w:tblStylePr w:type="firstCol">
      <w:rPr>
        <w:rFonts w:cs="Times New Roman"/>
      </w:rPr>
      <w:tcPr>
        <w:tcBorders>
          <w:top w:val="nil"/>
          <w:left w:val="nil"/>
          <w:bottom w:val="nil"/>
          <w:right w:val="single" w:color="FFFFFF" w:sz="18" w:space="0"/>
          <w:insideH w:val="nil"/>
          <w:insideV w:val="nil"/>
          <w:tl2br w:val="nil"/>
          <w:tr2bl w:val="nil"/>
        </w:tcBorders>
        <w:shd w:val="clear" w:color="auto" w:fill="31849B"/>
      </w:tcPr>
    </w:tblStylePr>
    <w:tblStylePr w:type="lastCol">
      <w:rPr>
        <w:rFonts w:cs="Times New Roman"/>
      </w:rPr>
      <w:tcPr>
        <w:tcBorders>
          <w:top w:val="nil"/>
          <w:left w:val="nil"/>
          <w:bottom w:val="single" w:color="FFFFFF" w:sz="18" w:space="0"/>
          <w:right w:val="nil"/>
          <w:insideH w:val="nil"/>
          <w:insideV w:val="nil"/>
          <w:tl2br w:val="nil"/>
          <w:tr2bl w:val="nil"/>
        </w:tcBorders>
        <w:shd w:val="clear" w:color="auto" w:fill="31849B"/>
      </w:tcPr>
    </w:tblStylePr>
    <w:tblStylePr w:type="band1Vert">
      <w:rPr>
        <w:rFonts w:cs="Times New Roman"/>
      </w:rPr>
      <w:tcPr>
        <w:tcBorders>
          <w:top w:val="nil"/>
          <w:left w:val="nil"/>
          <w:bottom w:val="nil"/>
          <w:right w:val="nil"/>
          <w:insideH w:val="nil"/>
          <w:insideV w:val="nil"/>
          <w:tl2br w:val="nil"/>
          <w:tr2bl w:val="nil"/>
        </w:tcBorders>
        <w:shd w:val="clear" w:color="auto" w:fill="31849B"/>
      </w:tcPr>
    </w:tblStylePr>
    <w:tblStylePr w:type="band1Horz">
      <w:rPr>
        <w:rFonts w:cs="Times New Roman"/>
      </w:rPr>
      <w:tcPr>
        <w:tcBorders>
          <w:top w:val="nil"/>
          <w:left w:val="nil"/>
          <w:bottom w:val="nil"/>
          <w:right w:val="nil"/>
          <w:insideH w:val="nil"/>
          <w:insideV w:val="nil"/>
          <w:tl2br w:val="nil"/>
          <w:tr2bl w:val="nil"/>
        </w:tcBorders>
        <w:shd w:val="clear" w:color="auto" w:fill="31849B"/>
      </w:tcPr>
    </w:tblStylePr>
  </w:style>
  <w:style w:type="table" w:customStyle="1" w:styleId="132">
    <w:name w:val="Dark List - Accent 6"/>
    <w:basedOn w:val="18"/>
    <w:qFormat/>
    <w:uiPriority w:val="70"/>
    <w:rPr>
      <w:color w:val="FFFFFF"/>
    </w:rPr>
    <w:tblPr>
      <w:tblCellMar>
        <w:top w:w="0" w:type="dxa"/>
        <w:left w:w="108" w:type="dxa"/>
        <w:bottom w:w="0" w:type="dxa"/>
        <w:right w:w="108" w:type="dxa"/>
      </w:tblCellMar>
    </w:tblPr>
    <w:tcPr>
      <w:shd w:val="clear" w:color="auto" w:fill="F79646"/>
    </w:tcPr>
    <w:tblStylePr w:type="firstRow">
      <w:rPr>
        <w:rFonts w:cs="Times New Roman"/>
        <w:b/>
        <w:bCs/>
      </w:rPr>
      <w:tcPr>
        <w:tcBorders>
          <w:top w:val="nil"/>
          <w:left w:val="single" w:color="FFFFFF" w:sz="18" w:space="0"/>
          <w:bottom w:val="nil"/>
          <w:right w:val="nil"/>
          <w:insideH w:val="nil"/>
          <w:insideV w:val="nil"/>
          <w:tl2br w:val="nil"/>
          <w:tr2bl w:val="nil"/>
        </w:tcBorders>
        <w:shd w:val="clear" w:color="auto" w:fill="000000"/>
      </w:tcPr>
    </w:tblStylePr>
    <w:tblStylePr w:type="lastRow">
      <w:rPr>
        <w:rFonts w:cs="Times New Roman"/>
      </w:rPr>
      <w:tcPr>
        <w:tcBorders>
          <w:top w:val="single" w:color="FFFFFF" w:sz="18" w:space="0"/>
          <w:left w:val="nil"/>
          <w:bottom w:val="nil"/>
          <w:right w:val="nil"/>
          <w:insideH w:val="nil"/>
          <w:insideV w:val="nil"/>
          <w:tl2br w:val="nil"/>
          <w:tr2bl w:val="nil"/>
        </w:tcBorders>
        <w:shd w:val="clear" w:color="auto" w:fill="974706"/>
      </w:tcPr>
    </w:tblStylePr>
    <w:tblStylePr w:type="firstCol">
      <w:rPr>
        <w:rFonts w:cs="Times New Roman"/>
      </w:rPr>
      <w:tcPr>
        <w:tcBorders>
          <w:top w:val="nil"/>
          <w:left w:val="nil"/>
          <w:bottom w:val="nil"/>
          <w:right w:val="single" w:color="FFFFFF" w:sz="18" w:space="0"/>
          <w:insideH w:val="nil"/>
          <w:insideV w:val="nil"/>
          <w:tl2br w:val="nil"/>
          <w:tr2bl w:val="nil"/>
        </w:tcBorders>
        <w:shd w:val="clear" w:color="auto" w:fill="E36C09"/>
      </w:tcPr>
    </w:tblStylePr>
    <w:tblStylePr w:type="lastCol">
      <w:rPr>
        <w:rFonts w:cs="Times New Roman"/>
      </w:rPr>
      <w:tcPr>
        <w:tcBorders>
          <w:top w:val="nil"/>
          <w:left w:val="nil"/>
          <w:bottom w:val="single" w:color="FFFFFF" w:sz="18" w:space="0"/>
          <w:right w:val="nil"/>
          <w:insideH w:val="nil"/>
          <w:insideV w:val="nil"/>
          <w:tl2br w:val="nil"/>
          <w:tr2bl w:val="nil"/>
        </w:tcBorders>
        <w:shd w:val="clear" w:color="auto" w:fill="E36C09"/>
      </w:tcPr>
    </w:tblStylePr>
    <w:tblStylePr w:type="band1Vert">
      <w:rPr>
        <w:rFonts w:cs="Times New Roman"/>
      </w:rPr>
      <w:tcPr>
        <w:tcBorders>
          <w:top w:val="nil"/>
          <w:left w:val="nil"/>
          <w:bottom w:val="nil"/>
          <w:right w:val="nil"/>
          <w:insideH w:val="nil"/>
          <w:insideV w:val="nil"/>
          <w:tl2br w:val="nil"/>
          <w:tr2bl w:val="nil"/>
        </w:tcBorders>
        <w:shd w:val="clear" w:color="auto" w:fill="E36C09"/>
      </w:tcPr>
    </w:tblStylePr>
    <w:tblStylePr w:type="band1Horz">
      <w:rPr>
        <w:rFonts w:cs="Times New Roman"/>
      </w:rPr>
      <w:tcPr>
        <w:tcBorders>
          <w:top w:val="nil"/>
          <w:left w:val="nil"/>
          <w:bottom w:val="nil"/>
          <w:right w:val="nil"/>
          <w:insideH w:val="nil"/>
          <w:insideV w:val="nil"/>
          <w:tl2br w:val="nil"/>
          <w:tr2bl w:val="nil"/>
        </w:tcBorders>
        <w:shd w:val="clear" w:color="auto" w:fill="E36C09"/>
      </w:tcPr>
    </w:tblStylePr>
  </w:style>
  <w:style w:type="table" w:customStyle="1" w:styleId="133">
    <w:name w:val="Colorful Shading - Accent 1"/>
    <w:basedOn w:val="18"/>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CellMar>
        <w:top w:w="0" w:type="dxa"/>
        <w:left w:w="108" w:type="dxa"/>
        <w:bottom w:w="0" w:type="dxa"/>
        <w:right w:w="108" w:type="dxa"/>
      </w:tblCellMar>
    </w:tblPr>
    <w:tcPr>
      <w:shd w:val="clear" w:color="auto" w:fill="EDF2F8"/>
    </w:tcPr>
    <w:tblStylePr w:type="firstRow">
      <w:rPr>
        <w:rFonts w:cs="Times New Roman"/>
        <w:b/>
        <w:bCs/>
      </w:rPr>
      <w:tcPr>
        <w:tcBorders>
          <w:top w:val="nil"/>
          <w:left w:val="single" w:color="C0504D"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2B4D74"/>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2B4D74"/>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2B4D74"/>
      </w:tcPr>
    </w:tblStylePr>
    <w:tblStylePr w:type="band1Vert">
      <w:rPr>
        <w:rFonts w:cs="Times New Roman"/>
      </w:rPr>
      <w:tcPr>
        <w:shd w:val="clear" w:color="auto" w:fill="B8CCE4"/>
      </w:tcPr>
    </w:tblStylePr>
    <w:tblStylePr w:type="band1Horz">
      <w:rPr>
        <w:rFonts w:cs="Times New Roman"/>
      </w:rPr>
      <w:tcPr>
        <w:shd w:val="clear" w:color="auto" w:fill="A7C0DE"/>
      </w:tcPr>
    </w:tblStylePr>
    <w:tblStylePr w:type="neCell">
      <w:rPr>
        <w:rFonts w:cs="Times New Roman"/>
        <w:color w:val="000000"/>
      </w:rPr>
    </w:tblStylePr>
    <w:tblStylePr w:type="nwCell">
      <w:rPr>
        <w:rFonts w:cs="Times New Roman"/>
        <w:color w:val="000000"/>
      </w:rPr>
    </w:tblStylePr>
  </w:style>
  <w:style w:type="table" w:customStyle="1" w:styleId="134">
    <w:name w:val="Colorful Shading - Accent 2"/>
    <w:basedOn w:val="18"/>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CellMar>
        <w:top w:w="0" w:type="dxa"/>
        <w:left w:w="108" w:type="dxa"/>
        <w:bottom w:w="0" w:type="dxa"/>
        <w:right w:w="108" w:type="dxa"/>
      </w:tblCellMar>
    </w:tblPr>
    <w:tcPr>
      <w:shd w:val="clear" w:color="auto" w:fill="F8EDED"/>
    </w:tcPr>
    <w:tblStylePr w:type="firstRow">
      <w:rPr>
        <w:rFonts w:cs="Times New Roman"/>
        <w:b/>
        <w:bCs/>
      </w:rPr>
      <w:tcPr>
        <w:tcBorders>
          <w:top w:val="nil"/>
          <w:left w:val="single" w:color="C0504D"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772C2A"/>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772C2A"/>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772C2A"/>
      </w:tcPr>
    </w:tblStylePr>
    <w:tblStylePr w:type="band1Vert">
      <w:rPr>
        <w:rFonts w:cs="Times New Roman"/>
      </w:rPr>
      <w:tcPr>
        <w:shd w:val="clear" w:color="auto" w:fill="E5B8B7"/>
      </w:tcPr>
    </w:tblStylePr>
    <w:tblStylePr w:type="band1Horz">
      <w:rPr>
        <w:rFonts w:cs="Times New Roman"/>
      </w:rPr>
      <w:tcPr>
        <w:shd w:val="clear" w:color="auto" w:fill="DFA7A6"/>
      </w:tcPr>
    </w:tblStylePr>
    <w:tblStylePr w:type="neCell">
      <w:rPr>
        <w:rFonts w:cs="Times New Roman"/>
        <w:color w:val="000000"/>
      </w:rPr>
    </w:tblStylePr>
    <w:tblStylePr w:type="nwCell">
      <w:rPr>
        <w:rFonts w:cs="Times New Roman"/>
        <w:color w:val="000000"/>
      </w:rPr>
    </w:tblStylePr>
  </w:style>
  <w:style w:type="table" w:customStyle="1" w:styleId="135">
    <w:name w:val="Colorful Shading - Accent 3"/>
    <w:basedOn w:val="18"/>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CellMar>
        <w:top w:w="0" w:type="dxa"/>
        <w:left w:w="108" w:type="dxa"/>
        <w:bottom w:w="0" w:type="dxa"/>
        <w:right w:w="108" w:type="dxa"/>
      </w:tblCellMar>
    </w:tblPr>
    <w:tcPr>
      <w:shd w:val="clear" w:color="auto" w:fill="F5F8EE"/>
    </w:tcPr>
    <w:tblStylePr w:type="firstRow">
      <w:rPr>
        <w:rFonts w:cs="Times New Roman"/>
        <w:b/>
        <w:bCs/>
      </w:rPr>
      <w:tcPr>
        <w:tcBorders>
          <w:top w:val="nil"/>
          <w:left w:val="single" w:color="8064A2"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5E7530"/>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5E7530"/>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5E7530"/>
      </w:tcPr>
    </w:tblStylePr>
    <w:tblStylePr w:type="band1Vert">
      <w:rPr>
        <w:rFonts w:cs="Times New Roman"/>
      </w:rPr>
      <w:tcPr>
        <w:shd w:val="clear" w:color="auto" w:fill="D6E3BC"/>
      </w:tcPr>
    </w:tblStylePr>
    <w:tblStylePr w:type="band1Horz">
      <w:rPr>
        <w:rFonts w:cs="Times New Roman"/>
      </w:rPr>
      <w:tcPr>
        <w:shd w:val="clear" w:color="auto" w:fill="CDDDAC"/>
      </w:tcPr>
    </w:tblStylePr>
  </w:style>
  <w:style w:type="table" w:customStyle="1" w:styleId="136">
    <w:name w:val="Colorful Shading - Accent 5"/>
    <w:basedOn w:val="18"/>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CellMar>
        <w:top w:w="0" w:type="dxa"/>
        <w:left w:w="108" w:type="dxa"/>
        <w:bottom w:w="0" w:type="dxa"/>
        <w:right w:w="108" w:type="dxa"/>
      </w:tblCellMar>
    </w:tblPr>
    <w:tcPr>
      <w:shd w:val="clear" w:color="auto" w:fill="EDF6F9"/>
    </w:tcPr>
    <w:tblStylePr w:type="firstRow">
      <w:rPr>
        <w:rFonts w:cs="Times New Roman"/>
        <w:b/>
        <w:bCs/>
      </w:rPr>
      <w:tcPr>
        <w:tcBorders>
          <w:top w:val="nil"/>
          <w:left w:val="single" w:color="F79646"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276A7C"/>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276A7C"/>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276A7C"/>
      </w:tcPr>
    </w:tblStylePr>
    <w:tblStylePr w:type="band1Vert">
      <w:rPr>
        <w:rFonts w:cs="Times New Roman"/>
      </w:rPr>
      <w:tcPr>
        <w:shd w:val="clear" w:color="auto" w:fill="B6DDE8"/>
      </w:tcPr>
    </w:tblStylePr>
    <w:tblStylePr w:type="band1Horz">
      <w:rPr>
        <w:rFonts w:cs="Times New Roman"/>
      </w:rPr>
      <w:tcPr>
        <w:shd w:val="clear" w:color="auto" w:fill="A5D5E2"/>
      </w:tcPr>
    </w:tblStylePr>
    <w:tblStylePr w:type="neCell">
      <w:rPr>
        <w:rFonts w:cs="Times New Roman"/>
        <w:color w:val="000000"/>
      </w:rPr>
    </w:tblStylePr>
    <w:tblStylePr w:type="nwCell">
      <w:rPr>
        <w:rFonts w:cs="Times New Roman"/>
        <w:color w:val="000000"/>
      </w:rPr>
    </w:tblStylePr>
  </w:style>
  <w:style w:type="table" w:customStyle="1" w:styleId="137">
    <w:name w:val="Colorful List - Accent 1"/>
    <w:basedOn w:val="18"/>
    <w:qFormat/>
    <w:uiPriority w:val="72"/>
    <w:rPr>
      <w:color w:val="000000"/>
    </w:rPr>
    <w:tblPr>
      <w:tblCellMar>
        <w:top w:w="0" w:type="dxa"/>
        <w:left w:w="108" w:type="dxa"/>
        <w:bottom w:w="0" w:type="dxa"/>
        <w:right w:w="108" w:type="dxa"/>
      </w:tblCellMar>
    </w:tblPr>
    <w:tcPr>
      <w:shd w:val="clear" w:color="auto" w:fill="EDF2F8"/>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rFonts w:cs="Times New Roman"/>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shd w:val="clear" w:color="auto" w:fill="DBE5F1"/>
      </w:tcPr>
    </w:tblStylePr>
  </w:style>
  <w:style w:type="table" w:customStyle="1" w:styleId="138">
    <w:name w:val="Colorful List - Accent 2"/>
    <w:basedOn w:val="18"/>
    <w:qFormat/>
    <w:uiPriority w:val="72"/>
    <w:rPr>
      <w:color w:val="000000"/>
    </w:rPr>
    <w:tblPr>
      <w:tblCellMar>
        <w:top w:w="0" w:type="dxa"/>
        <w:left w:w="108" w:type="dxa"/>
        <w:bottom w:w="0" w:type="dxa"/>
        <w:right w:w="108" w:type="dxa"/>
      </w:tblCellMar>
    </w:tblPr>
    <w:tcPr>
      <w:shd w:val="clear" w:color="auto" w:fill="F8EDED"/>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rFonts w:cs="Times New Roman"/>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EFD3D3"/>
      </w:tcPr>
    </w:tblStylePr>
    <w:tblStylePr w:type="band1Horz">
      <w:rPr>
        <w:rFonts w:cs="Times New Roman"/>
      </w:rPr>
      <w:tcPr>
        <w:shd w:val="clear" w:color="auto" w:fill="F2DBDB"/>
      </w:tcPr>
    </w:tblStylePr>
  </w:style>
  <w:style w:type="table" w:customStyle="1" w:styleId="139">
    <w:name w:val="Colorful List - Accent 4"/>
    <w:basedOn w:val="18"/>
    <w:qFormat/>
    <w:uiPriority w:val="72"/>
    <w:rPr>
      <w:color w:val="000000"/>
    </w:rPr>
    <w:tblPr>
      <w:tblCellMar>
        <w:top w:w="0" w:type="dxa"/>
        <w:left w:w="108" w:type="dxa"/>
        <w:bottom w:w="0" w:type="dxa"/>
        <w:right w:w="108" w:type="dxa"/>
      </w:tblCellMar>
    </w:tblPr>
    <w:tcPr>
      <w:shd w:val="clear" w:color="auto" w:fill="F2EFF5"/>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7E9C40"/>
      </w:tcPr>
    </w:tblStylePr>
    <w:tblStylePr w:type="lastRow">
      <w:rPr>
        <w:rFonts w:cs="Times New Roman"/>
        <w:b/>
        <w:bCs/>
        <w:color w:val="7E9C40"/>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FD8E8"/>
      </w:tcPr>
    </w:tblStylePr>
    <w:tblStylePr w:type="band1Horz">
      <w:rPr>
        <w:rFonts w:cs="Times New Roman"/>
      </w:rPr>
      <w:tcPr>
        <w:shd w:val="clear" w:color="auto" w:fill="E5DFEC"/>
      </w:tcPr>
    </w:tblStylePr>
  </w:style>
  <w:style w:type="table" w:customStyle="1" w:styleId="140">
    <w:name w:val="Colorful List - Accent 5"/>
    <w:basedOn w:val="18"/>
    <w:qFormat/>
    <w:uiPriority w:val="72"/>
    <w:rPr>
      <w:color w:val="000000"/>
    </w:rPr>
    <w:tblPr>
      <w:tblCellMar>
        <w:top w:w="0" w:type="dxa"/>
        <w:left w:w="108" w:type="dxa"/>
        <w:bottom w:w="0" w:type="dxa"/>
        <w:right w:w="108" w:type="dxa"/>
      </w:tblCellMar>
    </w:tblPr>
    <w:tcPr>
      <w:shd w:val="clear" w:color="auto" w:fill="EDF6F9"/>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F3730A"/>
      </w:tcPr>
    </w:tblStylePr>
    <w:tblStylePr w:type="lastRow">
      <w:rPr>
        <w:rFonts w:cs="Times New Roman"/>
        <w:b/>
        <w:bCs/>
        <w:color w:val="F3730A"/>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2EAF0"/>
      </w:tcPr>
    </w:tblStylePr>
    <w:tblStylePr w:type="band1Horz">
      <w:rPr>
        <w:rFonts w:cs="Times New Roman"/>
      </w:rPr>
      <w:tcPr>
        <w:shd w:val="clear" w:color="auto" w:fill="DAEEF3"/>
      </w:tcPr>
    </w:tblStylePr>
  </w:style>
  <w:style w:type="table" w:customStyle="1" w:styleId="141">
    <w:name w:val="Colorful List - Accent 6"/>
    <w:basedOn w:val="18"/>
    <w:qFormat/>
    <w:uiPriority w:val="72"/>
    <w:rPr>
      <w:color w:val="000000"/>
    </w:rPr>
    <w:tblPr>
      <w:tblCellMar>
        <w:top w:w="0" w:type="dxa"/>
        <w:left w:w="108" w:type="dxa"/>
        <w:bottom w:w="0" w:type="dxa"/>
        <w:right w:w="108" w:type="dxa"/>
      </w:tblCellMar>
    </w:tblPr>
    <w:tcPr>
      <w:shd w:val="clear" w:color="auto" w:fill="FEF4EC"/>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348DA5"/>
      </w:tcPr>
    </w:tblStylePr>
    <w:tblStylePr w:type="lastRow">
      <w:rPr>
        <w:rFonts w:cs="Times New Roman"/>
        <w:b/>
        <w:bCs/>
        <w:color w:val="348DA5"/>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FDE5D1"/>
      </w:tcPr>
    </w:tblStylePr>
    <w:tblStylePr w:type="band1Horz">
      <w:rPr>
        <w:rFonts w:cs="Times New Roman"/>
      </w:rPr>
      <w:tcPr>
        <w:shd w:val="clear" w:color="auto" w:fill="FDE9D9"/>
      </w:tcPr>
    </w:tblStylePr>
  </w:style>
  <w:style w:type="table" w:customStyle="1" w:styleId="142">
    <w:name w:val="Colorful Grid - Accent 4"/>
    <w:basedOn w:val="18"/>
    <w:qFormat/>
    <w:uiPriority w:val="73"/>
    <w:rPr>
      <w:color w:val="000000"/>
    </w:rPr>
    <w:tblPr>
      <w:tblBorders>
        <w:insideH w:val="single" w:color="FFFFFF" w:sz="4" w:space="0"/>
      </w:tblBorders>
      <w:tblCellMar>
        <w:top w:w="0" w:type="dxa"/>
        <w:left w:w="108" w:type="dxa"/>
        <w:bottom w:w="0" w:type="dxa"/>
        <w:right w:w="108" w:type="dxa"/>
      </w:tblCellMar>
    </w:tblPr>
    <w:tcPr>
      <w:shd w:val="clear" w:color="auto" w:fill="E5DFEC"/>
    </w:tcPr>
    <w:tblStylePr w:type="firstRow">
      <w:rPr>
        <w:rFonts w:cs="Times New Roman"/>
        <w:b/>
        <w:bCs/>
      </w:rPr>
      <w:tcPr>
        <w:shd w:val="clear" w:color="auto" w:fill="CCC0D9"/>
      </w:tcPr>
    </w:tblStylePr>
    <w:tblStylePr w:type="lastRow">
      <w:rPr>
        <w:rFonts w:cs="Times New Roman"/>
        <w:b/>
        <w:bCs/>
        <w:color w:val="000000"/>
      </w:rPr>
      <w:tcPr>
        <w:shd w:val="clear" w:color="auto" w:fill="CCC0D9"/>
      </w:tcPr>
    </w:tblStylePr>
    <w:tblStylePr w:type="firstCol">
      <w:rPr>
        <w:rFonts w:cs="Times New Roman"/>
        <w:color w:val="FFFFFF"/>
      </w:rPr>
      <w:tcPr>
        <w:shd w:val="clear" w:color="auto" w:fill="5F497A"/>
      </w:tcPr>
    </w:tblStylePr>
    <w:tblStylePr w:type="lastCol">
      <w:rPr>
        <w:rFonts w:cs="Times New Roman"/>
        <w:color w:val="FFFFFF"/>
      </w:rPr>
      <w:tcPr>
        <w:shd w:val="clear" w:color="auto" w:fill="5F497A"/>
      </w:tcPr>
    </w:tblStylePr>
    <w:tblStylePr w:type="band1Vert">
      <w:rPr>
        <w:rFonts w:cs="Times New Roman"/>
      </w:rPr>
      <w:tcPr>
        <w:shd w:val="clear" w:color="auto" w:fill="BFB1D0"/>
      </w:tcPr>
    </w:tblStylePr>
    <w:tblStylePr w:type="band1Horz">
      <w:rPr>
        <w:rFonts w:cs="Times New Roman"/>
      </w:rPr>
      <w:tcPr>
        <w:shd w:val="clear" w:color="auto" w:fill="BFB1D0"/>
      </w:tcPr>
    </w:tblStylePr>
  </w:style>
  <w:style w:type="table" w:customStyle="1" w:styleId="143">
    <w:name w:val="Colorful Grid - Accent 5"/>
    <w:basedOn w:val="18"/>
    <w:qFormat/>
    <w:uiPriority w:val="73"/>
    <w:rPr>
      <w:color w:val="000000"/>
    </w:rPr>
    <w:tblPr>
      <w:tblBorders>
        <w:insideH w:val="single" w:color="FFFFFF" w:sz="4" w:space="0"/>
      </w:tblBorders>
      <w:tblCellMar>
        <w:top w:w="0" w:type="dxa"/>
        <w:left w:w="108" w:type="dxa"/>
        <w:bottom w:w="0" w:type="dxa"/>
        <w:right w:w="108" w:type="dxa"/>
      </w:tblCellMar>
    </w:tblPr>
    <w:tcPr>
      <w:shd w:val="clear" w:color="auto" w:fill="DAEEF3"/>
    </w:tcPr>
    <w:tblStylePr w:type="firstRow">
      <w:rPr>
        <w:rFonts w:cs="Times New Roman"/>
        <w:b/>
        <w:bCs/>
      </w:rPr>
      <w:tcPr>
        <w:shd w:val="clear" w:color="auto" w:fill="B6DDE8"/>
      </w:tcPr>
    </w:tblStylePr>
    <w:tblStylePr w:type="lastRow">
      <w:rPr>
        <w:rFonts w:cs="Times New Roman"/>
        <w:b/>
        <w:bCs/>
        <w:color w:val="000000"/>
      </w:rPr>
      <w:tcPr>
        <w:shd w:val="clear" w:color="auto" w:fill="B6DDE8"/>
      </w:tcPr>
    </w:tblStylePr>
    <w:tblStylePr w:type="firstCol">
      <w:rPr>
        <w:rFonts w:cs="Times New Roman"/>
        <w:color w:val="FFFFFF"/>
      </w:rPr>
      <w:tcPr>
        <w:shd w:val="clear" w:color="auto" w:fill="31849B"/>
      </w:tcPr>
    </w:tblStylePr>
    <w:tblStylePr w:type="lastCol">
      <w:rPr>
        <w:rFonts w:cs="Times New Roman"/>
        <w:color w:val="FFFFFF"/>
      </w:rPr>
      <w:tcPr>
        <w:shd w:val="clear" w:color="auto" w:fill="31849B"/>
      </w:tcPr>
    </w:tblStylePr>
    <w:tblStylePr w:type="band1Vert">
      <w:rPr>
        <w:rFonts w:cs="Times New Roman"/>
      </w:rPr>
      <w:tcPr>
        <w:shd w:val="clear" w:color="auto" w:fill="A5D5E2"/>
      </w:tcPr>
    </w:tblStylePr>
    <w:tblStylePr w:type="band1Horz">
      <w:rPr>
        <w:rFonts w:cs="Times New Roman"/>
      </w:rPr>
      <w:tcPr>
        <w:shd w:val="clear" w:color="auto" w:fill="A5D5E2"/>
      </w:tcPr>
    </w:tblStylePr>
  </w:style>
  <w:style w:type="table" w:customStyle="1" w:styleId="144">
    <w:name w:val="Colorful Grid - Accent 6"/>
    <w:basedOn w:val="18"/>
    <w:qFormat/>
    <w:uiPriority w:val="73"/>
    <w:rPr>
      <w:color w:val="000000"/>
    </w:rPr>
    <w:tblPr>
      <w:tblBorders>
        <w:insideH w:val="single" w:color="FFFFFF" w:sz="4" w:space="0"/>
      </w:tblBorders>
      <w:tblCellMar>
        <w:top w:w="0" w:type="dxa"/>
        <w:left w:w="108" w:type="dxa"/>
        <w:bottom w:w="0" w:type="dxa"/>
        <w:right w:w="108" w:type="dxa"/>
      </w:tblCellMar>
    </w:tblPr>
    <w:tcPr>
      <w:shd w:val="clear" w:color="auto" w:fill="FDE9D9"/>
    </w:tcPr>
    <w:tblStylePr w:type="firstRow">
      <w:rPr>
        <w:rFonts w:cs="Times New Roman"/>
        <w:b/>
        <w:bCs/>
      </w:rPr>
      <w:tcPr>
        <w:shd w:val="clear" w:color="auto" w:fill="FBD4B4"/>
      </w:tcPr>
    </w:tblStylePr>
    <w:tblStylePr w:type="lastRow">
      <w:rPr>
        <w:rFonts w:cs="Times New Roman"/>
        <w:b/>
        <w:bCs/>
        <w:color w:val="000000"/>
      </w:rPr>
      <w:tcPr>
        <w:shd w:val="clear" w:color="auto" w:fill="FBD4B4"/>
      </w:tcPr>
    </w:tblStylePr>
    <w:tblStylePr w:type="firstCol">
      <w:rPr>
        <w:rFonts w:cs="Times New Roman"/>
        <w:color w:val="FFFFFF"/>
      </w:rPr>
      <w:tcPr>
        <w:shd w:val="clear" w:color="auto" w:fill="E36C09"/>
      </w:tcPr>
    </w:tblStylePr>
    <w:tblStylePr w:type="lastCol">
      <w:rPr>
        <w:rFonts w:cs="Times New Roman"/>
        <w:color w:val="FFFFFF"/>
      </w:rPr>
      <w:tcPr>
        <w:shd w:val="clear" w:color="auto" w:fill="E36C09"/>
      </w:tcPr>
    </w:tblStylePr>
    <w:tblStylePr w:type="band1Vert">
      <w:rPr>
        <w:rFonts w:cs="Times New Roman"/>
      </w:rPr>
      <w:tcPr>
        <w:shd w:val="clear" w:color="auto" w:fill="FBCAA2"/>
      </w:tcPr>
    </w:tblStylePr>
    <w:tblStylePr w:type="band1Horz">
      <w:rPr>
        <w:rFonts w:cs="Times New Roman"/>
      </w:rPr>
      <w:tcPr>
        <w:shd w:val="clear" w:color="auto" w:fill="FBCAA2"/>
      </w:tcPr>
    </w:tblStylePr>
  </w:style>
  <w:style w:type="table" w:customStyle="1" w:styleId="145">
    <w:name w:val="中等深浅底纹 2 - 强调文字颜色 11"/>
    <w:basedOn w:val="18"/>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4F81BD"/>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4F81BD"/>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4F81BD"/>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character" w:customStyle="1" w:styleId="146">
    <w:name w:val="font61"/>
    <w:basedOn w:val="36"/>
    <w:qFormat/>
    <w:uiPriority w:val="0"/>
    <w:rPr>
      <w:rFonts w:hint="eastAsia" w:ascii="黑体" w:hAnsi="宋体" w:eastAsia="黑体" w:cs="黑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chart" Target="charts/chart1.xml"/><Relationship Id="rId12" Type="http://schemas.openxmlformats.org/officeDocument/2006/relationships/image" Target="media/image4.png"/><Relationship Id="rId11" Type="http://schemas.openxmlformats.org/officeDocument/2006/relationships/image" Target="media/image1.wmf"/><Relationship Id="rId10" Type="http://schemas.openxmlformats.org/officeDocument/2006/relationships/oleObject" Target="embeddings/oleObject2.bin"/><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wmf"/><Relationship Id="rId1" Type="http://schemas.openxmlformats.org/officeDocument/2006/relationships/oleObject" Target="embeddings/oleObject1.bin"/></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XLSX%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a:gsLst>
                <a:gs pos="0">
                  <a:srgbClr val="7B32B2"/>
                </a:gs>
                <a:gs pos="100000">
                  <a:srgbClr val="401A5D"/>
                </a:gs>
              </a:gsLst>
              <a:lin scaled="0"/>
            </a:gradFill>
            <a:ln>
              <a:solidFill>
                <a:srgbClr val="00B050"/>
              </a:solidFill>
            </a:ln>
            <a:effectLst/>
          </c:spPr>
          <c:invertIfNegative val="0"/>
          <c:dLbls>
            <c:delete val="1"/>
          </c:dLbls>
          <c:cat>
            <c:strRef>
              <c:f>'[新建XLSX 工作表.xlsx]Sheet1'!$A$2:$A$3</c:f>
              <c:strCache>
                <c:ptCount val="2"/>
                <c:pt idx="0">
                  <c:v>男</c:v>
                </c:pt>
                <c:pt idx="1">
                  <c:v>女</c:v>
                </c:pt>
              </c:strCache>
            </c:strRef>
          </c:cat>
          <c:val>
            <c:numRef>
              <c:f>'[新建XLSX 工作表.xlsx]Sheet1'!$B$2:$B$3</c:f>
              <c:numCache>
                <c:formatCode>General</c:formatCode>
                <c:ptCount val="2"/>
                <c:pt idx="0">
                  <c:v>895</c:v>
                </c:pt>
                <c:pt idx="1">
                  <c:v>2397</c:v>
                </c:pt>
              </c:numCache>
            </c:numRef>
          </c:val>
        </c:ser>
        <c:dLbls>
          <c:showLegendKey val="0"/>
          <c:showVal val="0"/>
          <c:showCatName val="0"/>
          <c:showSerName val="0"/>
          <c:showPercent val="0"/>
          <c:showBubbleSize val="0"/>
        </c:dLbls>
        <c:gapWidth val="219"/>
        <c:overlap val="-27"/>
        <c:axId val="294935063"/>
        <c:axId val="96376655"/>
      </c:barChart>
      <c:catAx>
        <c:axId val="29493506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376655"/>
        <c:crosses val="autoZero"/>
        <c:auto val="1"/>
        <c:lblAlgn val="ctr"/>
        <c:lblOffset val="100"/>
        <c:noMultiLvlLbl val="0"/>
      </c:catAx>
      <c:valAx>
        <c:axId val="963766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49350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42</Pages>
  <Words>3298</Words>
  <Characters>18802</Characters>
  <Lines>156</Lines>
  <Paragraphs>44</Paragraphs>
  <TotalTime>14</TotalTime>
  <ScaleCrop>false</ScaleCrop>
  <LinksUpToDate>false</LinksUpToDate>
  <CharactersWithSpaces>22056</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2017-10-26T14:33:00Z</dcterms:created>
  <dc:creator>Administrator</dc:creator>
  <cp:lastModifiedBy>无名</cp:lastModifiedBy>
  <cp:lastPrinted>2020-12-31T01:09:00Z</cp:lastPrinted>
  <dcterms:modified xsi:type="dcterms:W3CDTF">2020-12-31T01:36:34Z</dcterms:modified>
  <cp:revision>310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